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3D" w:rsidRPr="0082503D" w:rsidRDefault="0082503D" w:rsidP="00825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b/>
          <w:sz w:val="32"/>
          <w:szCs w:val="32"/>
        </w:rPr>
        <w:t>Отчёт о результатах работы и основных направлениях деятельности Ленинградского областного комитета по управлению государственным имуществом в 202</w:t>
      </w:r>
      <w:r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82503D">
        <w:rPr>
          <w:rFonts w:ascii="Times New Roman" w:eastAsia="Calibri" w:hAnsi="Times New Roman" w:cs="Times New Roman"/>
          <w:b/>
          <w:sz w:val="32"/>
          <w:szCs w:val="32"/>
        </w:rPr>
        <w:t xml:space="preserve"> году</w:t>
      </w:r>
    </w:p>
    <w:p w:rsidR="005E5A0D" w:rsidRPr="005E5A0D" w:rsidRDefault="005E5A0D" w:rsidP="005E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3D" w:rsidRPr="0082503D" w:rsidRDefault="0082503D" w:rsidP="00825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Управление и распоряжение государственным имуществом, </w:t>
      </w:r>
    </w:p>
    <w:p w:rsidR="0082503D" w:rsidRPr="0082503D" w:rsidRDefault="0082503D" w:rsidP="00825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том числе земельными участками Ленинградской области.</w:t>
      </w:r>
    </w:p>
    <w:p w:rsidR="0082503D" w:rsidRPr="0082503D" w:rsidRDefault="0082503D" w:rsidP="00825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от использования и реализации государственного и муниципального имущества (за исключением денежных средств) в консолидированный бюджет Ленинградской области поступило 4 879,6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(исполнение плана 2020 года - </w:t>
      </w: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107,6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%, к аналогичным доходам 2019 года - 90,5%), в том числе: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от использования государственного и муниципального имущества (за исключением денежных средств) - 3 082,7 </w:t>
      </w:r>
      <w:proofErr w:type="gramStart"/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</w:t>
      </w:r>
      <w:r w:rsidRPr="008250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(исполнение плана 2020 года - 104,9%, к аналогичным доходам 2019 года - 80,8%), из них: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27,3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перечисления части прибыли государственных и муниципальных унитарных предприятий (исполнение плана 2020 года - 99,4%, по отношению к 2019 году - 152,4%)</w:t>
      </w:r>
      <w:r w:rsidRPr="00825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доходов 2020 года по сравнению с 2019 годом связано с получением предприятиями прибылей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запланированных;</w:t>
      </w:r>
    </w:p>
    <w:p w:rsidR="0082503D" w:rsidRPr="0082503D" w:rsidRDefault="0082503D" w:rsidP="0082503D">
      <w:pPr>
        <w:keepNext/>
        <w:tabs>
          <w:tab w:val="left" w:pos="1134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64,57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в виде прибыли, приходящейся на доли в уставных (складочных) капиталах хозяйственных обществ (или дивидендов по акциям) (исполнение плана 2020 года - 129,6%, по отношению к 2019 году - 29,2%). Снижение доходов в 2020 году по сравнению с 2019 годом связано с тем, что мажоритарным акционером самого крупного акционерного общества с участием Ленинградской области - АО «ЛОЭСК - Электрические сети Санкт-Петербурга и Ленинградской области» не принято решения о выплате дивидендов по результатам 2019 года (в 2019 году от указанного общества в областной бюджет поступило дивидендов на сумму 173,0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635,67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сдачи в аренду государственного и муниципального имущества (исполнение плана - 107,08%,</w:t>
      </w:r>
      <w:r w:rsidRPr="00825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2019 году - 97,2%);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2 108,5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сдачи в аренду,</w:t>
      </w:r>
      <w:r w:rsidRPr="00825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 продажи права на заключение договоров аренды земельных участков (исполнение плана - 104,4%, по отношению к 2019 году - 82,5%);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246,7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прочие доходы (исполнение плана - 99,2%,</w:t>
      </w:r>
      <w:r w:rsidRPr="00825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2019 году - 72,7%);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от продажи материальных и нематериальных активов - </w:t>
      </w:r>
      <w:r w:rsidRPr="008250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1 796,9</w:t>
      </w:r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 (исполнение плана 2020 года - 103,1%, к аналогичным доходам 2019 года - </w:t>
      </w:r>
      <w:r w:rsidRPr="008250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102,8</w:t>
      </w:r>
      <w:r w:rsidRPr="0082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%), из них:</w:t>
      </w:r>
    </w:p>
    <w:p w:rsidR="0082503D" w:rsidRPr="0082503D" w:rsidRDefault="0082503D" w:rsidP="00825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20,2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продажи квартир (исполнение плана 2020 года - </w:t>
      </w: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123,5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отношению к 2019 году - 382,1%);</w:t>
      </w:r>
    </w:p>
    <w:p w:rsidR="0082503D" w:rsidRPr="0082503D" w:rsidRDefault="0082503D" w:rsidP="00825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508,9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реализации государственного и муниципального имущества (за исключением движимого имущества бюджетных и автономных учреждений, а также имущества государственных и муниципальных унитарных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предприятий) (исполнение плана 2020 года - 94,1%, по отношению к 2019 году - 108,9%);</w:t>
      </w:r>
    </w:p>
    <w:p w:rsidR="0082503D" w:rsidRPr="0082503D" w:rsidRDefault="0082503D" w:rsidP="00825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868,6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реализации земельных участков, государственная собственность на которые не разграничена (исполнение плана 2020 года - 114,1%, по отношению к 2019 году - 93,4%);</w:t>
      </w:r>
    </w:p>
    <w:p w:rsidR="0082503D" w:rsidRPr="0082503D" w:rsidRDefault="0082503D" w:rsidP="00825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242,7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реализации земельных участков, государственная собственность на которые разграничена (исполнение плана 2020 года - 86,0%, по отношению к 2019 году - 133,3%);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156,5 </w:t>
      </w: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доходы от платы за увеличение площади земельных участков, находящихся в частной собственности, в результате перераспределения таких участков и земель (или) земельных участков, находящихся в государственной или муниципальной собственности (исполнение плана 2020 года - 109,0%, по отношению к 2019 году - 96,0%).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2503D" w:rsidRPr="0082503D" w:rsidRDefault="0082503D" w:rsidP="00825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5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Поступление сре</w:t>
      </w:r>
      <w:proofErr w:type="gramStart"/>
      <w:r w:rsidRPr="00825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в к</w:t>
      </w:r>
      <w:proofErr w:type="gramEnd"/>
      <w:r w:rsidRPr="00825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онсолидированный бюджет Ленинградской области</w:t>
      </w:r>
    </w:p>
    <w:p w:rsidR="0082503D" w:rsidRPr="0082503D" w:rsidRDefault="0082503D" w:rsidP="00825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5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использования и реализации земельных участков </w:t>
      </w:r>
    </w:p>
    <w:p w:rsidR="0082503D" w:rsidRPr="0082503D" w:rsidRDefault="0082503D" w:rsidP="008250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086"/>
        <w:gridCol w:w="1319"/>
        <w:gridCol w:w="1362"/>
        <w:gridCol w:w="1336"/>
        <w:gridCol w:w="1099"/>
      </w:tblGrid>
      <w:tr w:rsidR="0082503D" w:rsidRPr="0082503D" w:rsidTr="006E15F2">
        <w:trPr>
          <w:tblHeader/>
        </w:trPr>
        <w:tc>
          <w:tcPr>
            <w:tcW w:w="3085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2020 года</w:t>
            </w:r>
          </w:p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поступление за 2020 год</w:t>
            </w:r>
          </w:p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годового плана</w:t>
            </w:r>
          </w:p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 2019 год</w:t>
            </w:r>
          </w:p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к 2019 году</w:t>
            </w:r>
          </w:p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82503D" w:rsidRPr="0082503D" w:rsidTr="006E15F2">
        <w:tc>
          <w:tcPr>
            <w:tcW w:w="3085" w:type="dxa"/>
          </w:tcPr>
          <w:p w:rsidR="0082503D" w:rsidRPr="0082503D" w:rsidRDefault="0082503D" w:rsidP="00825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сдачи в аренду земельных участков, а также от продажи права на заключение договоров аренды земельных участков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2018,8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2108,5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2555,1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2503D" w:rsidRPr="0082503D" w:rsidTr="006E15F2">
        <w:tc>
          <w:tcPr>
            <w:tcW w:w="3085" w:type="dxa"/>
          </w:tcPr>
          <w:p w:rsidR="0082503D" w:rsidRPr="0082503D" w:rsidRDefault="0082503D" w:rsidP="00825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земельных участков, в том числе: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1043,2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1111,3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1112,4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2503D" w:rsidRPr="0082503D" w:rsidTr="006E15F2">
        <w:tc>
          <w:tcPr>
            <w:tcW w:w="3085" w:type="dxa"/>
          </w:tcPr>
          <w:p w:rsidR="0082503D" w:rsidRPr="0082503D" w:rsidRDefault="0082503D" w:rsidP="0082503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868,6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930,3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93,4</w:t>
            </w:r>
          </w:p>
        </w:tc>
      </w:tr>
      <w:tr w:rsidR="0082503D" w:rsidRPr="0082503D" w:rsidTr="006E15F2">
        <w:trPr>
          <w:trHeight w:val="70"/>
        </w:trPr>
        <w:tc>
          <w:tcPr>
            <w:tcW w:w="3085" w:type="dxa"/>
          </w:tcPr>
          <w:p w:rsidR="0082503D" w:rsidRPr="0082503D" w:rsidRDefault="0082503D" w:rsidP="00825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которые разграничена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133,3</w:t>
            </w:r>
          </w:p>
        </w:tc>
      </w:tr>
      <w:tr w:rsidR="0082503D" w:rsidRPr="0082503D" w:rsidTr="006E15F2">
        <w:trPr>
          <w:trHeight w:val="427"/>
        </w:trPr>
        <w:tc>
          <w:tcPr>
            <w:tcW w:w="3085" w:type="dxa"/>
          </w:tcPr>
          <w:p w:rsidR="0082503D" w:rsidRPr="0082503D" w:rsidRDefault="0082503D" w:rsidP="00825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платы за увеличение площади земельных участков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82503D" w:rsidRPr="0082503D" w:rsidTr="006E15F2">
        <w:tc>
          <w:tcPr>
            <w:tcW w:w="3085" w:type="dxa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3205,6</w:t>
            </w:r>
          </w:p>
        </w:tc>
        <w:tc>
          <w:tcPr>
            <w:tcW w:w="131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3376,3</w:t>
            </w:r>
          </w:p>
        </w:tc>
        <w:tc>
          <w:tcPr>
            <w:tcW w:w="1362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336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3830,5</w:t>
            </w:r>
          </w:p>
        </w:tc>
        <w:tc>
          <w:tcPr>
            <w:tcW w:w="1099" w:type="dxa"/>
            <w:vAlign w:val="center"/>
          </w:tcPr>
          <w:p w:rsidR="0082503D" w:rsidRPr="0082503D" w:rsidRDefault="0082503D" w:rsidP="008250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88,1</w:t>
            </w:r>
          </w:p>
        </w:tc>
      </w:tr>
    </w:tbl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минимизации негативных </w:t>
      </w:r>
      <w:r w:rsidRPr="00825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последствия распространения новой </w:t>
      </w:r>
      <w:proofErr w:type="spellStart"/>
      <w:r w:rsidRPr="00825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Pr="00825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экономики региона Правительством Ленинградской области в 2020 году предпринят ряд мер.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Pr="00825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 поддержки хозяйствующих субъектов, осуществляющих деятельность в пострадавших в условиях пандемии отраслях экономики, субъектов малого и среднего предпринимательства, социально ориентированных некоммерческих организаций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постановление Правительства Ленинградской области от 24.04.2020 №241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области».</w:t>
      </w:r>
      <w:r w:rsidRPr="00825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принято постановление Правительства Ленинградской области от 29.04.2020 №253 «О предоставлении в 2020 году отсрочки по уплате арендной платы за использование земельных участков, находящихся в собственности Ленинградской области и переданных в аренду концессионерам в условиях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ухудшения ситуации в связи с распространением новой </w:t>
      </w:r>
      <w:proofErr w:type="spell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области».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исполнения указанных постановлений, правообладателями (арендодателями) государственного имущества предоставлены льготы хозяйствующим субъектам по договорам аренды государственного имущества на общую сумму 14,2 </w:t>
      </w:r>
      <w:proofErr w:type="gramStart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(по отсрочке платежа - 11,5 млн руб., по освобождению от внесения арендной платы - 2,7 млн руб.).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поддержки арендаторов государственного имущества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базовой стоимости строительства, от которой напрямую зависит арендная плата за государственное имущество, сохранена на уровне 2020 года. Таким образом, арендная плата при перезаключении договоров аренды в 2021 году останется на прежнем уровне.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роста социальной напряженности в связи с потенциальным увеличением налогового бремени на владельцев недвижимости в условиях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пандемии сохранена действующая кадастровая стоимость объектов недвижимости региона. </w:t>
      </w:r>
    </w:p>
    <w:p w:rsidR="0082503D" w:rsidRPr="0082503D" w:rsidRDefault="0082503D" w:rsidP="0082503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сокращения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рынках, Губернатором Ленинградской области 31 августа 2020 года утвержден План мероприятий по реформированию </w:t>
      </w:r>
      <w:r w:rsidRPr="008250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9E0FD" wp14:editId="7939392D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 на период до января 2025 года. В 2020 году: 8 переданных из муниципальной собственности предприятий присоединены к ГУП «Водоканал Ленинградской области», 1 предприятие исключено из ЕГРЮЛ как лицо, прекратившее деятельность, по 2 предприятиям приняты решения о ликвидации, по 1 предприятию принято решение о преобразовании в государственное бюджетное учреждение. </w:t>
      </w:r>
    </w:p>
    <w:p w:rsidR="0082503D" w:rsidRPr="0082503D" w:rsidRDefault="0082503D" w:rsidP="0082503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мероприятия по снижению количества хозяйственных обществ с участием Ленинградской области путем ликвидации или приватизации пакетов акций обществ, действующих на товарных рынках. В 2020 году количество обществ сокращено на 4. Из оставшихся 32 обществ: 3 - находятся в состоянии ликвидации, 3 - пакеты акций выставлены на торги, 4 - подлежат добровольной ликвидации в 2021-2022 годах, 5 - ликвидации по банкротству.</w:t>
      </w:r>
    </w:p>
    <w:p w:rsidR="0082503D" w:rsidRPr="0082503D" w:rsidRDefault="0082503D" w:rsidP="0082503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2020 году проведена существенная нормотворческая работа, направленная на оптимизацию процессов управления и распоряжения региональным имуществом, а также синхронизацию областного законодательства </w:t>
      </w:r>
      <w:proofErr w:type="gramStart"/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федеральным.</w:t>
      </w:r>
    </w:p>
    <w:p w:rsidR="0082503D" w:rsidRPr="0082503D" w:rsidRDefault="0082503D" w:rsidP="00825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Так, областным законом от 24.12.2020 №155-оз «О внесении изменения в статью 2 областного закона «О бесплатном предоставлении гражданам, имеющим трех и более детей, земельных участков в собственность на территории Ленинградской области…» понятие граждан, имеющих трех и более детей, дополнено детьми в возрасте до 23 лет, обучающимися в образовательных организациях по очной форме обучения.</w:t>
      </w:r>
      <w:proofErr w:type="gramEnd"/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Данные изменения позволят максимально учесть интересы многодетных семей, проживающих на территории Ленинградской области.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Кроме того, Правительством Ленинградской области принято постановление от 23.04.2020 №234 «О предоставлении меры социальной поддержки в виде земельного капитала в Ленинградской области», которое призвано сократить время </w:t>
      </w:r>
      <w:r w:rsidRPr="0082503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ожидания предоставления земельного участка. Данная мера особенно актуальна для муниципальных образований, где существует дефицит земельных участков и предоставляет гражданину больше возможностей по самостоятельному выбору земельного участка на всей территории региона (как за счет средств земельного капитала, так и с использованием личных или заемных денежных средств).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Правительства Ленинградской области от 17.08.2020 №585 «О внесении изменений в постановление Правительства Ленинградской области от 06.08.2019 №366 «Об утверждении </w:t>
      </w:r>
      <w:proofErr w:type="gramStart"/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Порядка списания объектов имущественной части казны Ленинградской</w:t>
      </w:r>
      <w:proofErr w:type="gramEnd"/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области…» уточнена процедура списания государственного имущества. Указанное постановление призвано оптимизировать состав имущественной части казны Ленинградской области, обеспечить снижение финансовой нагрузки, связанной с формированием, содержанием, обеспечением использования и выбытия (списания) объектов казны Ленинградской области, повысить эффективность процесса управления и распоряжения государственной собственностью региона.</w:t>
      </w:r>
    </w:p>
    <w:p w:rsidR="0082503D" w:rsidRPr="0082503D" w:rsidRDefault="0082503D" w:rsidP="00825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 по содействию развитию конкуренции на рынках товаров, работ и услуг Ленинградской области постановлением Правительства Ленинградской области от 30.01.2020 №35 утвержден «</w:t>
      </w:r>
      <w:hyperlink r:id="rId8" w:history="1">
        <w:r w:rsidRPr="00825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государственного имущества Ленинградской области, закрепленного за государственными унитарными предприятиями Ленинградской области и государственными учреждениями Ленинградской области на праве хозяйственного ведения или оперативного управления».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«Регистрация права собственности и постановка на кадастровый учет земельных участков и объектов недвижимого имущества» государственной программы Ленинградской области «Стимулирование экономической активности Ленинградской области» на 31 декабря 2020 года достигнуто целевое значение показателя «Доля населенных пунктов, сведения о которых внесены в ЕГРН в общем количестве границ населенных пунктов» - 83,68%. В ходе работ, проводимых органами местного самоуправления, в</w:t>
      </w:r>
      <w:proofErr w:type="gramEnd"/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внесены сведения о 2 462 из 2 942 населенных пунктов региона. 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выполнен установленный распоряжением Правительства Российской Федерации от 31.01.2017 №147-р целевой показатель по внесению сведений в ЕГРН 100% границ муниципальных образований.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на 2021 год является дальнейшее обеспечение реализации проекта, в частности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мониторинга внесения сведений в ЕГРН границ населенных пунктов (план на 2021 год - 90%). 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По внесению в ЕГРН границ между субъектами Российской Федерации запланировано: внесение сведений и работа по внесению сведений в ЕГРН границ с Псковской, Новгородской, Вологодской областями и Республикой Карелия, заключение соглашения с Вологодской областью по уточнению границ между субъектами.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2020 года плановое значение целевого показателя «Доля границ между смежными субъектами Российской Федерации, сведения о которых внесены в ЕГРН» (75%) не было достигнуто по ряду независящих от Правительства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причин, в числе которых: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необходимость проведения картографических работ по уточнению и описанию границ между субъектами, отсутствие которых препятствовало заключению соглашений об уточнении границ со смежными субъектами;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выполнении работ выявлены пересечения границы между субъектами с земельными участками лесного фонда, а также земельными участками, сведения о которых внесены в ЕГРН. 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Для устранения вышеуказанных проблем ведется активная работа в рамках межведомственных рабочих групп по уточнению границ и внесению сведений в ЕГРН границ Ленинградской области со смежными субъектами и межведомственной рабочей группы по рассмотрению вопросов, связанных с приведением в соответствие сведений ЕГРН и государственного лесного реестра на территории Ленинградской области.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в целях проведения органами местного самоуправления комплексных кадастровых работ в рамках требований федерального закона от 24.07.2007 №221-ФЗ «О кадастровой деятельности» и </w:t>
      </w: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«Стимулирование экономической активности Ленинградской области» 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предоставлены субсидии в размере 9 880 193,34 руб. 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рамках выполнения мероприятия «Субсидии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области» государственной программы Ленинградской области «Развитие сельского хозяйства Ленинградской области» предоставлены субсидии в размере 2 619 812,33 руб. Поставлено на кадастровый учет земельных участков общей площадью 3 562 га. 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направлению постановки на кадастровый учет земельных участков, занятых местами погребения: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конец</w:t>
      </w:r>
      <w:proofErr w:type="gramEnd"/>
      <w:r w:rsidRPr="00825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2020 года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поставлено на кадастровый учет 618 земельных участков (70% от общего количества земельных участков, занятых кладбищами).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запланировано выделение субсидий для проведения кадастровых работ на территории Ленинградской области, в частности: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государственной программы Ленинградской области «Развитие сельского хозяйства Ленинградской области»: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2 813,4 тыс. руб. - на проведение кадастровых работ по образованию земельных участков из состава земель сельскохозяйственного назначения 9 муниципальным образованиям, общая площадь земельных участков, которые планируется поставить на кадастровый учет в 2021 году - 3 786,5966 га;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государственной программы Ленинградской области «Стимулирование экономической активности Ленинградской области»: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17 340,0 тыс. руб. - 6 муниципальным образованиям на проведение комплексных кадастровых работ в отношении 14 кадастровых кварталов, расположенных в границах территории ведения гражданами садоводства;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709,0 тыс. руб. - на проведение кадастровых работ в отношении земельных участков, занятых местами погребения. </w:t>
      </w:r>
    </w:p>
    <w:p w:rsidR="0082503D" w:rsidRPr="0082503D" w:rsidRDefault="0082503D" w:rsidP="0082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</w:t>
      </w:r>
      <w:proofErr w:type="gramStart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</w:t>
      </w:r>
      <w:proofErr w:type="gramEnd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АИС «Управление имуществом Ленинградской области» внедрена в Выборгском, Бокситогорском и </w:t>
      </w:r>
      <w:proofErr w:type="spellStart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Лужском</w:t>
      </w:r>
      <w:proofErr w:type="spellEnd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районах, на 2021 год запланировано тиражирование системы в Гатчинском, </w:t>
      </w:r>
      <w:proofErr w:type="spellStart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Тосненском</w:t>
      </w:r>
      <w:proofErr w:type="spellEnd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Сланцевском</w:t>
      </w:r>
      <w:proofErr w:type="spellEnd"/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районах. Внедрение системы позволит повысить эффективность управления земельно-имущественным комплексом региона.</w:t>
      </w:r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проекта «</w:t>
      </w:r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Создание цифровой и картографической основы Ленинградской области с высоким пространственным разрешением» 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произведена аэрофотосъемка и создание</w:t>
      </w:r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высококачественных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ортофотопланов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, а также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отрисовка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векторных слоев на Гатчинский,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Тосненский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Киришский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и Кировский районы. Создано более 20 векторных слоев, необходимых для принятия эффективных управленческих решений Правительством </w:t>
      </w:r>
      <w:r w:rsidRPr="0082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, таких как: установление границ территориальных зон, особо охраняемых природных территорий регионального значения, территорий объектов культурного наследия местного, федерального и регионального значения, водных объектов,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водоохранных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зон и защитных полос. Продолжаются работы в Кировском,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Киришском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Волховском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районах. В 2021 году планируется выполнение аналогичных работ во Всеволожском, Ломоносовском, Приозерском, Выборгском, </w:t>
      </w:r>
      <w:proofErr w:type="spellStart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Кингисеппском</w:t>
      </w:r>
      <w:proofErr w:type="spellEnd"/>
      <w:r w:rsidRPr="0082503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районах. Завершение работ по всем районам Ленинградской области запланировано к концу 2022 года.</w:t>
      </w: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Цель проекта - создание и вн</w:t>
      </w:r>
      <w:bookmarkStart w:id="0" w:name="_GoBack"/>
      <w:bookmarkEnd w:id="0"/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>есение в геоинформационную систему «Фонд пространственных данных» актуальных базовых пространственных данных, в совокупности позволяющих сформировать на картографической основе с высоким пространственным разрешением цифровую модель местности территории региона с параметрами точности, достаточными для последующего внесения информации в другие государственные информационные системы, в том числе в единый государственный реестр недвижимости.</w:t>
      </w:r>
      <w:proofErr w:type="gramEnd"/>
    </w:p>
    <w:p w:rsidR="0082503D" w:rsidRPr="0082503D" w:rsidRDefault="0082503D" w:rsidP="008250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информации использованы данные из </w:t>
      </w:r>
      <w:hyperlink r:id="rId9" w:history="1">
        <w:r w:rsidRPr="0082503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Отчета об исполнении консолидированного бюджета субъекта (ф.0503317)</w:t>
        </w:r>
      </w:hyperlink>
      <w:r w:rsidRPr="00825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ссылка: </w:t>
      </w:r>
      <w:hyperlink r:id="rId10" w:history="1">
        <w:r w:rsidRPr="0082503D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https://finance.lenobl.ru/ru/o-komitete/work/kazn_isp/otchet/2020-god/</w:t>
        </w:r>
      </w:hyperlink>
      <w:r w:rsidRPr="008250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150F9D" w:rsidRDefault="00150F9D" w:rsidP="0082503D">
      <w:pPr>
        <w:autoSpaceDE w:val="0"/>
        <w:autoSpaceDN w:val="0"/>
        <w:adjustRightInd w:val="0"/>
        <w:spacing w:after="0" w:line="240" w:lineRule="auto"/>
        <w:jc w:val="center"/>
      </w:pPr>
    </w:p>
    <w:sectPr w:rsidR="00150F9D" w:rsidSect="00973BDB">
      <w:pgSz w:w="11906" w:h="16838" w:code="9"/>
      <w:pgMar w:top="1134" w:right="567" w:bottom="8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588"/>
    <w:multiLevelType w:val="hybridMultilevel"/>
    <w:tmpl w:val="99FA9028"/>
    <w:lvl w:ilvl="0" w:tplc="48FAF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3474F"/>
    <w:multiLevelType w:val="hybridMultilevel"/>
    <w:tmpl w:val="1F1CF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B83F6B"/>
    <w:multiLevelType w:val="hybridMultilevel"/>
    <w:tmpl w:val="CC5C9C9C"/>
    <w:lvl w:ilvl="0" w:tplc="D4A2C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1"/>
    <w:rsid w:val="000155F7"/>
    <w:rsid w:val="000166E6"/>
    <w:rsid w:val="00060B9B"/>
    <w:rsid w:val="00063E5E"/>
    <w:rsid w:val="000E2C7C"/>
    <w:rsid w:val="000F5BC0"/>
    <w:rsid w:val="000F5F21"/>
    <w:rsid w:val="00150F9D"/>
    <w:rsid w:val="0018011F"/>
    <w:rsid w:val="00190524"/>
    <w:rsid w:val="001D702B"/>
    <w:rsid w:val="00201178"/>
    <w:rsid w:val="00276311"/>
    <w:rsid w:val="002773C0"/>
    <w:rsid w:val="00292479"/>
    <w:rsid w:val="00295969"/>
    <w:rsid w:val="002B0FB9"/>
    <w:rsid w:val="00324F91"/>
    <w:rsid w:val="00350D23"/>
    <w:rsid w:val="003A5799"/>
    <w:rsid w:val="003C0E81"/>
    <w:rsid w:val="003C1036"/>
    <w:rsid w:val="003C2DDD"/>
    <w:rsid w:val="004147DE"/>
    <w:rsid w:val="00433C4D"/>
    <w:rsid w:val="0043428F"/>
    <w:rsid w:val="004357D5"/>
    <w:rsid w:val="00453C78"/>
    <w:rsid w:val="004B1BCF"/>
    <w:rsid w:val="00561F78"/>
    <w:rsid w:val="005A6518"/>
    <w:rsid w:val="005B63A0"/>
    <w:rsid w:val="005E5A0D"/>
    <w:rsid w:val="005E6F7D"/>
    <w:rsid w:val="00606BD9"/>
    <w:rsid w:val="00624716"/>
    <w:rsid w:val="006A7980"/>
    <w:rsid w:val="006B3139"/>
    <w:rsid w:val="006B60A9"/>
    <w:rsid w:val="006D517D"/>
    <w:rsid w:val="006E2BA6"/>
    <w:rsid w:val="007720FC"/>
    <w:rsid w:val="00796502"/>
    <w:rsid w:val="007A2FEF"/>
    <w:rsid w:val="007A4AB8"/>
    <w:rsid w:val="007C4654"/>
    <w:rsid w:val="00823A62"/>
    <w:rsid w:val="0082503D"/>
    <w:rsid w:val="00846BC9"/>
    <w:rsid w:val="00875BF4"/>
    <w:rsid w:val="00884D79"/>
    <w:rsid w:val="008B7524"/>
    <w:rsid w:val="0090483F"/>
    <w:rsid w:val="00904B83"/>
    <w:rsid w:val="00923A7C"/>
    <w:rsid w:val="009A0C3B"/>
    <w:rsid w:val="009B1753"/>
    <w:rsid w:val="009C4957"/>
    <w:rsid w:val="00A32A8A"/>
    <w:rsid w:val="00A52440"/>
    <w:rsid w:val="00AA6816"/>
    <w:rsid w:val="00AA70EA"/>
    <w:rsid w:val="00AE059A"/>
    <w:rsid w:val="00B42711"/>
    <w:rsid w:val="00B42E67"/>
    <w:rsid w:val="00B8175E"/>
    <w:rsid w:val="00B87F55"/>
    <w:rsid w:val="00BA0B4E"/>
    <w:rsid w:val="00BC4E7B"/>
    <w:rsid w:val="00BE7CA0"/>
    <w:rsid w:val="00C34307"/>
    <w:rsid w:val="00C54534"/>
    <w:rsid w:val="00C626EF"/>
    <w:rsid w:val="00C62774"/>
    <w:rsid w:val="00C74648"/>
    <w:rsid w:val="00C843FF"/>
    <w:rsid w:val="00CB108E"/>
    <w:rsid w:val="00CE224F"/>
    <w:rsid w:val="00CE7ECC"/>
    <w:rsid w:val="00CF360A"/>
    <w:rsid w:val="00D22B05"/>
    <w:rsid w:val="00D27361"/>
    <w:rsid w:val="00D51A85"/>
    <w:rsid w:val="00D81D1B"/>
    <w:rsid w:val="00D82FF5"/>
    <w:rsid w:val="00D832E7"/>
    <w:rsid w:val="00DB3CCD"/>
    <w:rsid w:val="00DB764A"/>
    <w:rsid w:val="00E0189C"/>
    <w:rsid w:val="00E263EE"/>
    <w:rsid w:val="00E668DB"/>
    <w:rsid w:val="00E75D8B"/>
    <w:rsid w:val="00E801A2"/>
    <w:rsid w:val="00ED56B8"/>
    <w:rsid w:val="00F00146"/>
    <w:rsid w:val="00F82D3B"/>
    <w:rsid w:val="00FB7FD7"/>
    <w:rsid w:val="00FC2C1E"/>
    <w:rsid w:val="00FD3F90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27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2711"/>
  </w:style>
  <w:style w:type="paragraph" w:styleId="a5">
    <w:name w:val="Balloon Text"/>
    <w:basedOn w:val="a"/>
    <w:link w:val="a6"/>
    <w:uiPriority w:val="99"/>
    <w:semiHidden/>
    <w:unhideWhenUsed/>
    <w:rsid w:val="00B4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3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27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2711"/>
  </w:style>
  <w:style w:type="paragraph" w:styleId="a5">
    <w:name w:val="Balloon Text"/>
    <w:basedOn w:val="a"/>
    <w:link w:val="a6"/>
    <w:uiPriority w:val="99"/>
    <w:semiHidden/>
    <w:unhideWhenUsed/>
    <w:rsid w:val="00B4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3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1C4169BEE60F9EEF6430B0FA8DAEEC5F4E4770D7A6BB4FD7DBC5AE046ED0255D8BBF638A40C27C910FBFDFBAEF75365DFB1996FCE7E9q2P2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nance.lenobl.ru/ru/o-komitete/work/kazn_isp/otchet/2020-g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ance.lenobl.ru/media/uploads/userfiles/2021/02/01/0503317_%D0%BD%D0%B0_01.01.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5073-9B15-4CE5-90A0-6840643A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Леноблкомимущество</dc:creator>
  <cp:lastModifiedBy>Татьяна Григорьевна Панченко</cp:lastModifiedBy>
  <cp:revision>3</cp:revision>
  <cp:lastPrinted>2021-02-18T09:26:00Z</cp:lastPrinted>
  <dcterms:created xsi:type="dcterms:W3CDTF">2022-02-22T11:21:00Z</dcterms:created>
  <dcterms:modified xsi:type="dcterms:W3CDTF">2022-02-22T11:24:00Z</dcterms:modified>
</cp:coreProperties>
</file>