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811BFA" w:rsidRDefault="00BA7AFD" w:rsidP="00811BFA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Pr="00BA7AFD">
        <w:rPr>
          <w:lang w:val="ru-RU"/>
        </w:rPr>
        <w:t xml:space="preserve"> </w:t>
      </w:r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 xml:space="preserve"> район, деревня Д</w:t>
      </w:r>
      <w:r w:rsidR="00014D23">
        <w:rPr>
          <w:rFonts w:eastAsia="Times New Roman"/>
          <w:i/>
          <w:sz w:val="28"/>
          <w:szCs w:val="28"/>
          <w:lang w:val="ru-RU" w:eastAsia="ru-RU"/>
        </w:rPr>
        <w:t>ерева</w:t>
      </w:r>
    </w:p>
    <w:p w:rsidR="007A0654" w:rsidRDefault="001B6229" w:rsidP="00811BFA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proofErr w:type="gramStart"/>
      <w:r>
        <w:rPr>
          <w:rFonts w:eastAsia="Times New Roman"/>
          <w:i/>
          <w:sz w:val="28"/>
          <w:szCs w:val="28"/>
          <w:lang w:val="ru-RU" w:eastAsia="ru-RU"/>
        </w:rPr>
        <w:t>(</w:t>
      </w:r>
      <w:r w:rsidR="007A0654" w:rsidRPr="00E9267B">
        <w:rPr>
          <w:rFonts w:eastAsia="Times New Roman"/>
          <w:i/>
          <w:sz w:val="28"/>
          <w:szCs w:val="28"/>
          <w:lang w:val="ru-RU" w:eastAsia="ru-RU"/>
        </w:rPr>
        <w:t>здание с кад</w:t>
      </w:r>
      <w:r w:rsidR="007A0654"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="00584135" w:rsidRPr="00584135">
        <w:rPr>
          <w:rFonts w:eastAsia="Times New Roman"/>
          <w:i/>
          <w:sz w:val="28"/>
          <w:szCs w:val="28"/>
          <w:lang w:val="ru-RU" w:eastAsia="ru-RU"/>
        </w:rPr>
        <w:t>47:18:0122001:35</w:t>
      </w:r>
      <w:r w:rsidR="007A0654">
        <w:rPr>
          <w:rFonts w:eastAsia="Times New Roman"/>
          <w:i/>
          <w:sz w:val="28"/>
          <w:szCs w:val="28"/>
          <w:lang w:val="ru-RU" w:eastAsia="ru-RU"/>
        </w:rPr>
        <w:t xml:space="preserve">, </w:t>
      </w:r>
      <w:proofErr w:type="gramEnd"/>
    </w:p>
    <w:p w:rsidR="00BA7AFD" w:rsidRPr="00BA7AFD" w:rsidRDefault="007A0654" w:rsidP="007A065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E9267B">
        <w:rPr>
          <w:rFonts w:eastAsia="Times New Roman"/>
          <w:i/>
          <w:sz w:val="28"/>
          <w:szCs w:val="28"/>
          <w:lang w:val="ru-RU" w:eastAsia="ru-RU"/>
        </w:rPr>
        <w:t>земельный участок с кад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="00584135" w:rsidRPr="00584135">
        <w:rPr>
          <w:rFonts w:eastAsia="Times New Roman"/>
          <w:i/>
          <w:sz w:val="28"/>
          <w:szCs w:val="28"/>
          <w:lang w:val="ru-RU" w:eastAsia="ru-RU"/>
        </w:rPr>
        <w:t>47:18:0124001:231</w:t>
      </w:r>
      <w:r>
        <w:rPr>
          <w:rFonts w:eastAsia="Times New Roman"/>
          <w:i/>
          <w:sz w:val="28"/>
          <w:szCs w:val="28"/>
          <w:lang w:val="ru-RU" w:eastAsia="ru-RU"/>
        </w:rPr>
        <w:t>)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424ECF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24ECF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24ECF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24ECF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Pr="007A0654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Pr="007A0654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7A0654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7A0654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7A0654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7A0654">
        <w:rPr>
          <w:rFonts w:eastAsia="Times New Roman"/>
          <w:sz w:val="28"/>
          <w:szCs w:val="28"/>
          <w:lang w:val="ru-RU" w:eastAsia="ru-RU"/>
        </w:rPr>
        <w:t>: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 </w:t>
      </w:r>
      <w:r w:rsidR="00EB344E" w:rsidRPr="007A0654">
        <w:rPr>
          <w:rFonts w:eastAsia="Times New Roman"/>
          <w:sz w:val="28"/>
          <w:szCs w:val="28"/>
          <w:lang w:val="ru-RU" w:eastAsia="ru-RU"/>
        </w:rPr>
        <w:t xml:space="preserve"> </w:t>
      </w:r>
      <w:r w:rsidR="00615F6F" w:rsidRPr="00615F6F">
        <w:rPr>
          <w:rFonts w:eastAsia="Times New Roman"/>
          <w:sz w:val="28"/>
          <w:szCs w:val="28"/>
          <w:lang w:val="ru-RU" w:eastAsia="ru-RU"/>
        </w:rPr>
        <w:t>1B1CAC9-4001-74-1</w:t>
      </w:r>
      <w:bookmarkStart w:id="0" w:name="_GoBack"/>
      <w:bookmarkEnd w:id="0"/>
    </w:p>
    <w:p w:rsidR="00AC0556" w:rsidRPr="007A0654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7A0654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7A0654">
        <w:rPr>
          <w:rFonts w:eastAsia="Times New Roman"/>
          <w:sz w:val="28"/>
          <w:szCs w:val="28"/>
          <w:lang w:val="ru-RU" w:eastAsia="ru-RU"/>
        </w:rPr>
        <w:t>: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 </w:t>
      </w:r>
      <w:r w:rsidR="00615F6F" w:rsidRPr="00615F6F">
        <w:rPr>
          <w:rFonts w:eastAsia="Times New Roman"/>
          <w:sz w:val="28"/>
          <w:szCs w:val="28"/>
          <w:lang w:val="ru-RU" w:eastAsia="ru-RU"/>
        </w:rPr>
        <w:t>21000004980000000064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333386">
      <w:pPr>
        <w:ind w:right="57" w:firstLine="709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333386">
      <w:pPr>
        <w:ind w:firstLine="709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333386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333386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1A6E75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80509A" w:rsidRPr="00B23379" w:rsidRDefault="0080509A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1C4D4C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2. Правовое регулирование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33338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1A6E75" w:rsidRDefault="001A6E75" w:rsidP="00333386">
      <w:pPr>
        <w:spacing w:line="264" w:lineRule="auto"/>
        <w:ind w:right="57" w:firstLine="709"/>
        <w:rPr>
          <w:rFonts w:eastAsia="Times New Roman"/>
          <w:b/>
          <w:lang w:val="ru-RU" w:eastAsia="ru-RU"/>
        </w:rPr>
      </w:pPr>
    </w:p>
    <w:p w:rsidR="0080509A" w:rsidRPr="00B23379" w:rsidRDefault="0080509A" w:rsidP="00CE24C5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F10EA8">
        <w:rPr>
          <w:rFonts w:eastAsia="Times New Roman"/>
          <w:lang w:val="ru-RU" w:eastAsia="ru-RU"/>
        </w:rPr>
        <w:t xml:space="preserve">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333386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333386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3D0278">
        <w:rPr>
          <w:rFonts w:eastAsia="Times New Roman"/>
          <w:lang w:val="ru-RU" w:eastAsia="ru-RU"/>
        </w:rPr>
        <w:t>06 июля</w:t>
      </w:r>
      <w:r w:rsidR="006865B8" w:rsidRPr="00EE54C2">
        <w:rPr>
          <w:rFonts w:eastAsia="Times New Roman"/>
          <w:lang w:val="ru-RU" w:eastAsia="ru-RU"/>
        </w:rPr>
        <w:t xml:space="preserve"> </w:t>
      </w:r>
      <w:r w:rsidR="00730669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730669" w:rsidRPr="00EE54C2">
        <w:rPr>
          <w:rFonts w:eastAsia="Times New Roman"/>
          <w:lang w:val="ru-RU" w:eastAsia="ru-RU"/>
        </w:rPr>
        <w:t xml:space="preserve"> года с </w:t>
      </w:r>
      <w:r w:rsidR="00C472FE" w:rsidRPr="00EE54C2">
        <w:rPr>
          <w:rFonts w:eastAsia="Times New Roman"/>
          <w:lang w:val="ru-RU" w:eastAsia="ru-RU"/>
        </w:rPr>
        <w:t>09:</w:t>
      </w:r>
      <w:r w:rsidR="00730669" w:rsidRPr="00EE54C2">
        <w:rPr>
          <w:rFonts w:eastAsia="Times New Roman"/>
          <w:lang w:val="ru-RU" w:eastAsia="ru-RU"/>
        </w:rPr>
        <w:t>00.</w:t>
      </w:r>
      <w:r w:rsidR="00B44CDA" w:rsidRPr="00EE54C2">
        <w:rPr>
          <w:rFonts w:eastAsia="Times New Roman"/>
          <w:lang w:val="ru-RU" w:eastAsia="ru-RU"/>
        </w:rPr>
        <w:t xml:space="preserve"> </w:t>
      </w: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 w:rsidRPr="00EE54C2">
        <w:rPr>
          <w:rFonts w:eastAsia="Times New Roman"/>
          <w:b/>
          <w:lang w:val="ru-RU" w:eastAsia="ru-RU"/>
        </w:rPr>
        <w:t xml:space="preserve"> </w:t>
      </w:r>
      <w:r w:rsidR="003D0278" w:rsidRPr="003D0278">
        <w:rPr>
          <w:rFonts w:eastAsia="Times New Roman"/>
          <w:lang w:val="ru-RU" w:eastAsia="ru-RU"/>
        </w:rPr>
        <w:t>01 августа</w:t>
      </w:r>
      <w:r w:rsidR="00BA7AFD" w:rsidRPr="00EE54C2">
        <w:rPr>
          <w:rFonts w:eastAsia="Times New Roman"/>
          <w:lang w:val="ru-RU" w:eastAsia="ru-RU"/>
        </w:rPr>
        <w:t xml:space="preserve"> </w:t>
      </w:r>
      <w:r w:rsidR="00730669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730669" w:rsidRPr="00EE54C2">
        <w:rPr>
          <w:rFonts w:eastAsia="Times New Roman"/>
          <w:lang w:val="ru-RU" w:eastAsia="ru-RU"/>
        </w:rPr>
        <w:t xml:space="preserve"> года, 23:59.</w:t>
      </w: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Срок внесения задатка</w:t>
      </w:r>
      <w:r w:rsidRPr="00EE54C2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 w:rsidRPr="00EE54C2">
        <w:rPr>
          <w:rFonts w:eastAsia="Times New Roman"/>
          <w:lang w:val="ru-RU" w:eastAsia="ru-RU"/>
        </w:rPr>
        <w:t xml:space="preserve"> </w:t>
      </w:r>
      <w:r w:rsidR="003D0278">
        <w:rPr>
          <w:rFonts w:eastAsia="Times New Roman"/>
          <w:lang w:val="ru-RU" w:eastAsia="ru-RU"/>
        </w:rPr>
        <w:t>01 августа</w:t>
      </w:r>
      <w:r w:rsidR="006865B8" w:rsidRPr="00EE54C2">
        <w:rPr>
          <w:rFonts w:eastAsia="Times New Roman"/>
          <w:lang w:val="ru-RU" w:eastAsia="ru-RU"/>
        </w:rPr>
        <w:t xml:space="preserve"> </w:t>
      </w:r>
      <w:r w:rsidR="00673FFB" w:rsidRPr="00EE54C2">
        <w:rPr>
          <w:rFonts w:eastAsia="Times New Roman"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года, 23:59.</w:t>
      </w:r>
    </w:p>
    <w:p w:rsidR="004B5451" w:rsidRPr="00EE54C2" w:rsidRDefault="004B5451" w:rsidP="00333386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 w:rsidRPr="00EE54C2">
        <w:rPr>
          <w:rFonts w:eastAsia="Times New Roman"/>
          <w:b/>
          <w:lang w:val="ru-RU" w:eastAsia="ru-RU"/>
        </w:rPr>
        <w:t> </w:t>
      </w:r>
      <w:r w:rsidRPr="00EE54C2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3D0278" w:rsidRPr="003D0278">
        <w:rPr>
          <w:rFonts w:eastAsia="Times New Roman"/>
          <w:lang w:val="ru-RU" w:eastAsia="ru-RU"/>
        </w:rPr>
        <w:t>07 августа</w:t>
      </w:r>
      <w:r w:rsidR="00673FFB" w:rsidRPr="00EE54C2">
        <w:rPr>
          <w:rFonts w:eastAsia="Times New Roman"/>
          <w:b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</w:t>
      </w:r>
      <w:r w:rsidR="00086FD1" w:rsidRPr="00EE54C2">
        <w:rPr>
          <w:rFonts w:eastAsia="Times New Roman"/>
          <w:b/>
          <w:lang w:val="ru-RU" w:eastAsia="ru-RU"/>
        </w:rPr>
        <w:t>.</w:t>
      </w:r>
    </w:p>
    <w:p w:rsidR="00821328" w:rsidRPr="00EE54C2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Дата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и время проведения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аукциона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в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3D0278" w:rsidRPr="003D0278">
        <w:rPr>
          <w:rFonts w:eastAsia="Times New Roman"/>
          <w:lang w:val="ru-RU" w:eastAsia="ru-RU"/>
        </w:rPr>
        <w:t>07 августа</w:t>
      </w:r>
      <w:r w:rsidR="006865B8" w:rsidRPr="00EE54C2">
        <w:rPr>
          <w:rFonts w:eastAsia="Times New Roman"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года, с</w:t>
      </w:r>
      <w:r w:rsidR="00B648C1">
        <w:rPr>
          <w:rFonts w:eastAsia="Times New Roman"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09:00.</w:t>
      </w:r>
    </w:p>
    <w:p w:rsidR="006377AE" w:rsidRPr="00EE54C2" w:rsidRDefault="006377AE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F37B14" w:rsidRPr="00EE54C2">
        <w:rPr>
          <w:rFonts w:eastAsia="Times New Roman"/>
          <w:b/>
          <w:lang w:val="ru-RU" w:eastAsia="ru-RU"/>
        </w:rPr>
        <w:t xml:space="preserve"> </w:t>
      </w:r>
      <w:r w:rsidR="003D0278" w:rsidRPr="003D0278">
        <w:rPr>
          <w:rFonts w:eastAsia="Times New Roman"/>
          <w:lang w:val="ru-RU" w:eastAsia="ru-RU"/>
        </w:rPr>
        <w:t>08 августа</w:t>
      </w:r>
      <w:r w:rsidR="00F37B14" w:rsidRPr="00EE54C2">
        <w:rPr>
          <w:rFonts w:eastAsia="Times New Roman"/>
          <w:lang w:val="ru-RU" w:eastAsia="ru-RU"/>
        </w:rPr>
        <w:t xml:space="preserve"> 202</w:t>
      </w:r>
      <w:r w:rsidR="006865B8" w:rsidRPr="00EE54C2">
        <w:rPr>
          <w:rFonts w:eastAsia="Times New Roman"/>
          <w:lang w:val="ru-RU" w:eastAsia="ru-RU"/>
        </w:rPr>
        <w:t>4</w:t>
      </w:r>
      <w:r w:rsidR="00F37B14" w:rsidRPr="00EE54C2">
        <w:rPr>
          <w:rFonts w:eastAsia="Times New Roman"/>
          <w:lang w:val="ru-RU" w:eastAsia="ru-RU"/>
        </w:rPr>
        <w:t xml:space="preserve"> года</w:t>
      </w:r>
      <w:r w:rsidRPr="00EE54C2">
        <w:rPr>
          <w:rFonts w:eastAsia="Times New Roman"/>
          <w:lang w:val="ru-RU" w:eastAsia="ru-RU"/>
        </w:rPr>
        <w:t>, с 09:00.</w:t>
      </w:r>
    </w:p>
    <w:p w:rsidR="006377AE" w:rsidRPr="00086FD1" w:rsidRDefault="006377AE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33338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 (812) 539-41-29, 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6321CF">
        <w:rPr>
          <w:rFonts w:eastAsia="Times New Roman"/>
          <w:lang w:val="ru-RU" w:eastAsia="ru-RU"/>
        </w:rPr>
        <w:t>.</w:t>
      </w:r>
    </w:p>
    <w:p w:rsidR="001A6E75" w:rsidRDefault="001A6E75" w:rsidP="00333386">
      <w:pPr>
        <w:spacing w:line="264" w:lineRule="auto"/>
        <w:ind w:right="57" w:firstLine="709"/>
        <w:jc w:val="both"/>
        <w:rPr>
          <w:rFonts w:eastAsia="Times New Roman"/>
          <w:b/>
          <w:iCs/>
          <w:lang w:val="ru-RU" w:eastAsia="ru-RU"/>
        </w:rPr>
      </w:pPr>
    </w:p>
    <w:p w:rsidR="0080509A" w:rsidRPr="00B23379" w:rsidRDefault="0080509A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333386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Pr="00805B87">
        <w:rPr>
          <w:rFonts w:eastAsia="Times New Roman"/>
          <w:lang w:val="ru-RU" w:eastAsia="ru-RU"/>
        </w:rPr>
        <w:t xml:space="preserve"> </w:t>
      </w:r>
      <w:r w:rsidRPr="00805B87">
        <w:rPr>
          <w:bCs/>
          <w:color w:val="000000"/>
          <w:lang w:val="ru-RU"/>
        </w:rPr>
        <w:t>постановление Правительства</w:t>
      </w:r>
      <w:r w:rsidR="00A128CD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Ленинградской области от</w:t>
      </w:r>
      <w:r w:rsidR="008711B4">
        <w:rPr>
          <w:bCs/>
          <w:color w:val="000000"/>
          <w:lang w:val="ru-RU"/>
        </w:rPr>
        <w:t> </w:t>
      </w:r>
      <w:r w:rsidR="00A54D5A">
        <w:rPr>
          <w:bCs/>
          <w:color w:val="000000"/>
          <w:lang w:val="ru-RU"/>
        </w:rPr>
        <w:t>26.10.2022</w:t>
      </w:r>
      <w:r w:rsidR="006D5188" w:rsidRPr="00805B87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 xml:space="preserve">№ </w:t>
      </w:r>
      <w:r w:rsidR="00A54D5A">
        <w:rPr>
          <w:bCs/>
          <w:color w:val="000000"/>
          <w:lang w:val="ru-RU"/>
        </w:rPr>
        <w:t>781</w:t>
      </w:r>
      <w:r w:rsidRPr="00805B87">
        <w:rPr>
          <w:bCs/>
          <w:color w:val="000000"/>
          <w:lang w:val="ru-RU"/>
        </w:rPr>
        <w:t xml:space="preserve"> «</w:t>
      </w:r>
      <w:r w:rsidR="00C929F9" w:rsidRPr="00C929F9">
        <w:rPr>
          <w:bCs/>
          <w:color w:val="000000"/>
          <w:lang w:val="ru-RU"/>
        </w:rPr>
        <w:t>Об утверждении программы приватизации государственного имущества Ленинградской области на плановый период 2023-2025 годов</w:t>
      </w:r>
      <w:r w:rsidRPr="00805B87">
        <w:rPr>
          <w:bCs/>
          <w:color w:val="000000"/>
          <w:lang w:val="ru-RU"/>
        </w:rPr>
        <w:t>»,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r w:rsidR="00885AD1">
        <w:rPr>
          <w:bCs/>
          <w:color w:val="000000"/>
          <w:lang w:val="ru-RU"/>
        </w:rPr>
        <w:t>Леноблкомимущества</w:t>
      </w:r>
      <w:r w:rsidRPr="00805B87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 xml:space="preserve">от </w:t>
      </w:r>
      <w:r w:rsidR="00EA399A">
        <w:rPr>
          <w:bCs/>
          <w:color w:val="000000"/>
          <w:lang w:val="ru-RU"/>
        </w:rPr>
        <w:t>19.06</w:t>
      </w:r>
      <w:r w:rsidR="00B23EA0">
        <w:rPr>
          <w:bCs/>
          <w:color w:val="000000"/>
          <w:lang w:val="ru-RU"/>
        </w:rPr>
        <w:t>.2024</w:t>
      </w:r>
      <w:r w:rsidR="005C7A0E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>№</w:t>
      </w:r>
      <w:r w:rsidR="005C7A0E">
        <w:rPr>
          <w:bCs/>
          <w:color w:val="000000"/>
          <w:lang w:val="ru-RU"/>
        </w:rPr>
        <w:t xml:space="preserve"> </w:t>
      </w:r>
      <w:r w:rsidR="00EA399A">
        <w:rPr>
          <w:bCs/>
          <w:color w:val="000000"/>
          <w:lang w:val="ru-RU"/>
        </w:rPr>
        <w:t>8</w:t>
      </w:r>
      <w:r w:rsidR="00584135">
        <w:rPr>
          <w:bCs/>
          <w:color w:val="000000"/>
          <w:lang w:val="ru-RU"/>
        </w:rPr>
        <w:t>58</w:t>
      </w:r>
      <w:r w:rsidR="007E26C0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«</w:t>
      </w:r>
      <w:r w:rsidR="00584135" w:rsidRPr="00584135">
        <w:rPr>
          <w:bCs/>
          <w:color w:val="000000"/>
          <w:lang w:val="ru-RU"/>
        </w:rPr>
        <w:t xml:space="preserve">Об условиях приватизации находящегося </w:t>
      </w:r>
      <w:r w:rsidR="00584135" w:rsidRPr="00584135">
        <w:rPr>
          <w:bCs/>
          <w:color w:val="000000"/>
          <w:lang w:val="ru-RU"/>
        </w:rPr>
        <w:lastRenderedPageBreak/>
        <w:t>в</w:t>
      </w:r>
      <w:r w:rsidR="0073318D">
        <w:rPr>
          <w:bCs/>
          <w:color w:val="000000"/>
          <w:lang w:val="ru-RU"/>
        </w:rPr>
        <w:t> </w:t>
      </w:r>
      <w:r w:rsidR="00584135" w:rsidRPr="00584135">
        <w:rPr>
          <w:bCs/>
          <w:color w:val="000000"/>
          <w:lang w:val="ru-RU"/>
        </w:rPr>
        <w:t xml:space="preserve">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584135" w:rsidRPr="00584135">
        <w:rPr>
          <w:bCs/>
          <w:color w:val="000000"/>
          <w:lang w:val="ru-RU"/>
        </w:rPr>
        <w:t>Бокситогорский</w:t>
      </w:r>
      <w:proofErr w:type="spellEnd"/>
      <w:r w:rsidR="00584135" w:rsidRPr="00584135">
        <w:rPr>
          <w:bCs/>
          <w:color w:val="000000"/>
          <w:lang w:val="ru-RU"/>
        </w:rPr>
        <w:t xml:space="preserve"> район, деревня Дерева</w:t>
      </w:r>
      <w:r w:rsidRPr="00805B87">
        <w:rPr>
          <w:bCs/>
          <w:color w:val="000000"/>
          <w:lang w:val="ru-RU"/>
        </w:rPr>
        <w:t>».</w:t>
      </w:r>
    </w:p>
    <w:p w:rsidR="0080509A" w:rsidRDefault="0080509A" w:rsidP="00333386">
      <w:pPr>
        <w:ind w:firstLine="709"/>
        <w:jc w:val="both"/>
        <w:rPr>
          <w:b/>
          <w:bCs/>
          <w:color w:val="000000"/>
          <w:lang w:val="ru-RU"/>
        </w:rPr>
      </w:pPr>
    </w:p>
    <w:p w:rsidR="009C51F9" w:rsidRPr="00714F82" w:rsidRDefault="00A54C78" w:rsidP="00333386">
      <w:pPr>
        <w:ind w:firstLine="709"/>
        <w:jc w:val="both"/>
        <w:rPr>
          <w:bCs/>
          <w:color w:val="000000"/>
          <w:lang w:val="ru-RU"/>
        </w:rPr>
      </w:pPr>
      <w:r w:rsidRPr="00714F82">
        <w:rPr>
          <w:b/>
          <w:bCs/>
          <w:color w:val="000000"/>
          <w:lang w:val="ru-RU"/>
        </w:rPr>
        <w:t>Предмет</w:t>
      </w:r>
      <w:r w:rsidR="00A128CD" w:rsidRPr="00714F82">
        <w:rPr>
          <w:b/>
          <w:bCs/>
          <w:color w:val="000000"/>
          <w:lang w:val="ru-RU"/>
        </w:rPr>
        <w:t xml:space="preserve"> </w:t>
      </w:r>
      <w:r w:rsidRPr="00714F82">
        <w:rPr>
          <w:b/>
          <w:bCs/>
          <w:color w:val="000000"/>
          <w:lang w:val="ru-RU"/>
        </w:rPr>
        <w:t>торгов:</w:t>
      </w:r>
      <w:r w:rsidRPr="00714F82">
        <w:rPr>
          <w:bCs/>
          <w:color w:val="000000"/>
          <w:lang w:val="ru-RU"/>
        </w:rPr>
        <w:t xml:space="preserve"> </w:t>
      </w:r>
    </w:p>
    <w:p w:rsidR="00885AD1" w:rsidRPr="00714F82" w:rsidRDefault="00885AD1" w:rsidP="00333386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714F82">
        <w:rPr>
          <w:bCs/>
          <w:color w:val="000000"/>
          <w:lang w:val="ru-RU"/>
        </w:rPr>
        <w:t>Находящееся в государственной собственности Ленинградск</w:t>
      </w:r>
      <w:r w:rsidR="00714F82" w:rsidRPr="00714F82">
        <w:rPr>
          <w:bCs/>
          <w:color w:val="000000"/>
          <w:lang w:val="ru-RU"/>
        </w:rPr>
        <w:t>ой области недвижимое имущество</w:t>
      </w:r>
      <w:r w:rsidRPr="00714F82">
        <w:rPr>
          <w:bCs/>
          <w:color w:val="000000"/>
          <w:lang w:val="ru-RU"/>
        </w:rPr>
        <w:t xml:space="preserve">: </w:t>
      </w:r>
    </w:p>
    <w:p w:rsidR="00714F82" w:rsidRPr="00584135" w:rsidRDefault="00714F82" w:rsidP="00333386">
      <w:pPr>
        <w:pStyle w:val="ae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с кадастровым 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номером </w:t>
      </w:r>
      <w:r w:rsidR="00584135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47:18:0122001:35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площадью </w:t>
      </w:r>
      <w:r w:rsidR="00584135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3 300,1</w:t>
      </w:r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proofErr w:type="spellStart"/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</w:t>
      </w:r>
      <w:proofErr w:type="gramStart"/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.м</w:t>
      </w:r>
      <w:proofErr w:type="spellEnd"/>
      <w:proofErr w:type="gramEnd"/>
      <w:r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назначение: нежилое, наименование: </w:t>
      </w:r>
      <w:r w:rsidR="00584135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молочная ферма на 400 голов (оставшаяся часть объекта</w:t>
      </w:r>
      <w:r w:rsidR="00447B45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584135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49%), местоположение: Ленинградская область, р-н. </w:t>
      </w:r>
      <w:proofErr w:type="spellStart"/>
      <w:r w:rsidR="00584135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="00584135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д. Дерева, д. б/</w:t>
      </w:r>
      <w:proofErr w:type="gramStart"/>
      <w:r w:rsidR="00584135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proofErr w:type="gramEnd"/>
      <w:r w:rsidR="00885AD1" w:rsidRPr="005841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BF61C1" w:rsidRPr="002177D9" w:rsidRDefault="00714F82" w:rsidP="00333386">
      <w:pPr>
        <w:pStyle w:val="ae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7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0AA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участок с кадастровым номером 47:18:0124001:231</w:t>
      </w:r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площадью </w:t>
      </w:r>
      <w:r w:rsidR="00BD5FF2" w:rsidRPr="00BD5FF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9 243 </w:t>
      </w:r>
      <w:proofErr w:type="spellStart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</w:t>
      </w:r>
      <w:proofErr w:type="gramStart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.м</w:t>
      </w:r>
      <w:proofErr w:type="spellEnd"/>
      <w:proofErr w:type="gramEnd"/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категория земель</w:t>
      </w:r>
      <w:r w:rsidR="00447B45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земли сельскохозяйственного назначения, вид разрешенного использования</w:t>
      </w:r>
      <w:r w:rsidR="00307F5E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2177D9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пищевая промышленность, местоположение: Ленинградская область, р-н </w:t>
      </w:r>
      <w:proofErr w:type="spellStart"/>
      <w:r w:rsidR="002177D9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="002177D9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Российская Федерация, Ленинградская область, </w:t>
      </w:r>
      <w:proofErr w:type="spellStart"/>
      <w:r w:rsidR="002177D9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Бокситогорский</w:t>
      </w:r>
      <w:proofErr w:type="spellEnd"/>
      <w:r w:rsidR="002177D9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муниципальный район, </w:t>
      </w:r>
      <w:proofErr w:type="spellStart"/>
      <w:r w:rsidR="002177D9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Большедворское</w:t>
      </w:r>
      <w:proofErr w:type="spellEnd"/>
      <w:r w:rsidR="002177D9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сельское поселение</w:t>
      </w:r>
      <w:r w:rsidR="00885AD1" w:rsidRPr="002177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014D23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230A41" w:rsidRDefault="00AA356F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08470D">
              <w:rPr>
                <w:b/>
              </w:rPr>
              <w:t>1</w:t>
            </w:r>
            <w:r w:rsidRPr="0008470D">
              <w:rPr>
                <w:b/>
                <w:lang w:val="ru-RU"/>
              </w:rPr>
              <w:t> </w:t>
            </w:r>
            <w:r w:rsidRPr="0008470D">
              <w:rPr>
                <w:b/>
              </w:rPr>
              <w:t>580</w:t>
            </w:r>
            <w:r w:rsidRPr="0008470D">
              <w:rPr>
                <w:b/>
                <w:lang w:val="ru-RU"/>
              </w:rPr>
              <w:t> </w:t>
            </w:r>
            <w:r w:rsidRPr="0008470D">
              <w:rPr>
                <w:b/>
              </w:rPr>
              <w:t>674</w:t>
            </w:r>
            <w:proofErr w:type="gramStart"/>
            <w:r w:rsidR="00230A41" w:rsidRPr="0008470D">
              <w:rPr>
                <w:b/>
                <w:lang w:val="ru-RU"/>
              </w:rPr>
              <w:t>,00</w:t>
            </w:r>
            <w:proofErr w:type="gramEnd"/>
            <w:r w:rsidR="00230A41" w:rsidRPr="00230A41">
              <w:rPr>
                <w:b/>
              </w:rPr>
              <w:t xml:space="preserve"> </w:t>
            </w:r>
            <w:r w:rsidR="00057C8D" w:rsidRPr="00230A41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9368BF" w:rsidRDefault="00327F33" w:rsidP="009368BF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в том числе НДС в размере</w:t>
            </w:r>
          </w:p>
          <w:p w:rsidR="00057C8D" w:rsidRPr="008A6227" w:rsidRDefault="009368BF" w:rsidP="009368BF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9368BF">
              <w:rPr>
                <w:bCs/>
                <w:i/>
                <w:color w:val="000000"/>
                <w:lang w:val="ru-RU"/>
              </w:rPr>
              <w:t>27</w:t>
            </w:r>
            <w:r>
              <w:rPr>
                <w:bCs/>
                <w:i/>
                <w:color w:val="000000"/>
                <w:lang w:val="ru-RU"/>
              </w:rPr>
              <w:t> </w:t>
            </w:r>
            <w:r w:rsidRPr="009368BF">
              <w:rPr>
                <w:bCs/>
                <w:i/>
                <w:color w:val="000000"/>
                <w:lang w:val="ru-RU"/>
              </w:rPr>
              <w:t>674</w:t>
            </w:r>
            <w:r w:rsidR="00230A41">
              <w:rPr>
                <w:bCs/>
                <w:i/>
                <w:color w:val="000000"/>
                <w:lang w:val="ru-RU"/>
              </w:rPr>
              <w:t>,00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="00327F33"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014D23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D7789E" w:rsidRDefault="005C51BE" w:rsidP="005C51BE">
            <w:pPr>
              <w:tabs>
                <w:tab w:val="left" w:pos="317"/>
              </w:tabs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230A41" w:rsidRPr="00230A41">
              <w:rPr>
                <w:lang w:val="ru-RU"/>
              </w:rPr>
              <w:t>стоимость здания с</w:t>
            </w:r>
            <w:r w:rsidR="00772035">
              <w:rPr>
                <w:lang w:val="ru-RU"/>
              </w:rPr>
              <w:t> </w:t>
            </w:r>
            <w:r w:rsidR="00230A41" w:rsidRPr="00230A41">
              <w:rPr>
                <w:lang w:val="ru-RU"/>
              </w:rPr>
              <w:t xml:space="preserve">кадастровым номером </w:t>
            </w:r>
            <w:r w:rsidR="00D7789E" w:rsidRPr="00D7789E">
              <w:rPr>
                <w:bCs/>
                <w:color w:val="000000"/>
                <w:lang w:val="ru-RU"/>
              </w:rPr>
              <w:t>47:18:0122001:35</w:t>
            </w:r>
          </w:p>
          <w:p w:rsidR="00F94CC4" w:rsidRPr="009B4C71" w:rsidRDefault="00F94CC4" w:rsidP="005C51BE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45065A" w:rsidP="0045065A">
            <w:pPr>
              <w:jc w:val="center"/>
              <w:rPr>
                <w:bCs/>
                <w:color w:val="000000"/>
                <w:lang w:val="ru-RU"/>
              </w:rPr>
            </w:pPr>
            <w:r w:rsidRPr="0045065A">
              <w:rPr>
                <w:bCs/>
                <w:color w:val="000000"/>
                <w:lang w:val="ru-RU"/>
              </w:rPr>
              <w:t>166</w:t>
            </w:r>
            <w:r>
              <w:rPr>
                <w:bCs/>
                <w:color w:val="000000"/>
                <w:lang w:val="ru-RU"/>
              </w:rPr>
              <w:t> </w:t>
            </w:r>
            <w:r w:rsidRPr="0045065A">
              <w:rPr>
                <w:bCs/>
                <w:color w:val="000000"/>
                <w:lang w:val="ru-RU"/>
              </w:rPr>
              <w:t>046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6D03" w:rsidRDefault="00046D03" w:rsidP="00B23EA0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>
              <w:rPr>
                <w:bCs/>
                <w:i/>
                <w:color w:val="000000"/>
                <w:lang w:val="ru-RU"/>
              </w:rPr>
              <w:t>в том числе НДС в размере</w:t>
            </w:r>
          </w:p>
          <w:p w:rsidR="00057C8D" w:rsidRPr="008A6227" w:rsidRDefault="00046D03" w:rsidP="001E5916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046D03">
              <w:rPr>
                <w:bCs/>
                <w:i/>
                <w:color w:val="000000"/>
                <w:lang w:val="ru-RU"/>
              </w:rPr>
              <w:t>27</w:t>
            </w:r>
            <w:r w:rsidR="001E5916">
              <w:rPr>
                <w:bCs/>
                <w:i/>
                <w:color w:val="000000"/>
                <w:lang w:val="ru-RU"/>
              </w:rPr>
              <w:t> </w:t>
            </w:r>
            <w:r w:rsidRPr="00046D03">
              <w:rPr>
                <w:bCs/>
                <w:i/>
                <w:color w:val="000000"/>
                <w:lang w:val="ru-RU"/>
              </w:rPr>
              <w:t>674</w:t>
            </w:r>
            <w:r w:rsidR="00230A41">
              <w:rPr>
                <w:bCs/>
                <w:i/>
                <w:color w:val="000000"/>
                <w:lang w:val="ru-RU"/>
              </w:rPr>
              <w:t>,00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="00057C8D"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203584" w:rsidRDefault="00057C8D" w:rsidP="005C51BE">
            <w:pPr>
              <w:tabs>
                <w:tab w:val="left" w:pos="317"/>
              </w:tabs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="005C51BE" w:rsidRPr="005C51BE">
              <w:rPr>
                <w:lang w:val="ru-RU"/>
              </w:rPr>
              <w:t xml:space="preserve">стоимость земельного участка с кадастровым номером </w:t>
            </w:r>
            <w:r w:rsidR="00203584" w:rsidRPr="00203584">
              <w:rPr>
                <w:lang w:val="ru-RU"/>
              </w:rPr>
              <w:t>47:18:0124001:231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04438B" w:rsidP="0004438B">
            <w:pPr>
              <w:jc w:val="center"/>
              <w:rPr>
                <w:bCs/>
                <w:color w:val="000000"/>
                <w:lang w:val="ru-RU"/>
              </w:rPr>
            </w:pPr>
            <w:r w:rsidRPr="0004438B">
              <w:rPr>
                <w:bCs/>
                <w:color w:val="000000"/>
                <w:lang w:val="ru-RU"/>
              </w:rPr>
              <w:t>1</w:t>
            </w:r>
            <w:r>
              <w:rPr>
                <w:bCs/>
                <w:color w:val="000000"/>
                <w:lang w:val="ru-RU"/>
              </w:rPr>
              <w:t> </w:t>
            </w:r>
            <w:r w:rsidRPr="0004438B">
              <w:rPr>
                <w:bCs/>
                <w:color w:val="000000"/>
                <w:lang w:val="ru-RU"/>
              </w:rPr>
              <w:t>414</w:t>
            </w:r>
            <w:r>
              <w:rPr>
                <w:bCs/>
                <w:color w:val="000000"/>
                <w:lang w:val="ru-RU"/>
              </w:rPr>
              <w:t> </w:t>
            </w:r>
            <w:r w:rsidRPr="0004438B">
              <w:rPr>
                <w:bCs/>
                <w:color w:val="000000"/>
                <w:lang w:val="ru-RU"/>
              </w:rPr>
              <w:t>628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3C510E" w:rsidRDefault="00057C8D" w:rsidP="00772035">
            <w:pPr>
              <w:rPr>
                <w:bCs/>
                <w:color w:val="000000"/>
                <w:lang w:val="ru-RU"/>
              </w:rPr>
            </w:pPr>
            <w:proofErr w:type="gramStart"/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proofErr w:type="gramEnd"/>
          </w:p>
          <w:p w:rsidR="00057C8D" w:rsidRPr="001E4F43" w:rsidRDefault="00696887" w:rsidP="008A25D3">
            <w:pPr>
              <w:rPr>
                <w:b/>
                <w:bCs/>
                <w:color w:val="000000"/>
                <w:lang w:val="ru-RU"/>
              </w:rPr>
            </w:pPr>
            <w:proofErr w:type="gramStart"/>
            <w:r w:rsidRPr="006C1A95">
              <w:rPr>
                <w:bCs/>
                <w:color w:val="000000"/>
                <w:lang w:val="ru-RU"/>
              </w:rPr>
              <w:t xml:space="preserve">5 </w:t>
            </w:r>
            <w:r>
              <w:rPr>
                <w:bCs/>
                <w:color w:val="000000"/>
                <w:lang w:val="ru-RU"/>
              </w:rPr>
              <w:t>% от</w:t>
            </w:r>
            <w:r w:rsidR="008A25D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начальной цены</w:t>
            </w:r>
            <w:r w:rsidR="00057C8D" w:rsidRPr="001E4F43">
              <w:rPr>
                <w:bCs/>
                <w:color w:val="000000"/>
                <w:lang w:val="ru-RU"/>
              </w:rPr>
              <w:t>)</w:t>
            </w:r>
            <w:proofErr w:type="gramEnd"/>
          </w:p>
        </w:tc>
        <w:tc>
          <w:tcPr>
            <w:tcW w:w="3474" w:type="dxa"/>
          </w:tcPr>
          <w:p w:rsidR="008A6227" w:rsidRPr="001E4F43" w:rsidRDefault="00E018AC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E018AC">
              <w:rPr>
                <w:b/>
                <w:bCs/>
                <w:color w:val="000000"/>
                <w:lang w:val="ru-RU"/>
              </w:rPr>
              <w:t>79033,7</w:t>
            </w:r>
            <w:r>
              <w:rPr>
                <w:b/>
                <w:bCs/>
                <w:color w:val="000000"/>
                <w:lang w:val="ru-RU"/>
              </w:rPr>
              <w:t>0</w:t>
            </w:r>
            <w:r w:rsidR="00E31679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3C510E" w:rsidRDefault="00057C8D" w:rsidP="00772035">
            <w:pPr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</w:p>
          <w:p w:rsidR="00057C8D" w:rsidRPr="001E4F43" w:rsidRDefault="00377AEA" w:rsidP="008A25D3">
            <w:pPr>
              <w:rPr>
                <w:bCs/>
                <w:color w:val="000000"/>
                <w:lang w:val="ru-RU"/>
              </w:rPr>
            </w:pPr>
            <w:r w:rsidRPr="00163981">
              <w:rPr>
                <w:rFonts w:eastAsia="Times New Roman"/>
                <w:lang w:val="ru-RU" w:eastAsia="ru-RU"/>
              </w:rPr>
              <w:t>(</w:t>
            </w:r>
            <w:r w:rsidRPr="00163981">
              <w:rPr>
                <w:lang w:val="ru-RU"/>
              </w:rPr>
              <w:t>10 %</w:t>
            </w:r>
            <w:r w:rsidRPr="003C510E">
              <w:rPr>
                <w:lang w:val="ru-RU"/>
              </w:rPr>
              <w:t xml:space="preserve"> </w:t>
            </w:r>
            <w:r w:rsidRPr="00163981">
              <w:rPr>
                <w:lang w:val="ru-RU"/>
              </w:rPr>
              <w:t>от</w:t>
            </w:r>
            <w:r w:rsidR="008A25D3" w:rsidRPr="00A74C4F">
              <w:rPr>
                <w:rFonts w:eastAsia="Times New Roman"/>
                <w:lang w:val="ru-RU" w:eastAsia="ru-RU"/>
              </w:rPr>
              <w:t xml:space="preserve"> </w:t>
            </w:r>
            <w:r w:rsidRPr="00163981">
              <w:rPr>
                <w:rFonts w:eastAsia="Times New Roman"/>
                <w:lang w:val="ru-RU" w:eastAsia="ru-RU"/>
              </w:rPr>
              <w:t>начальной цены)</w:t>
            </w:r>
          </w:p>
        </w:tc>
        <w:tc>
          <w:tcPr>
            <w:tcW w:w="3474" w:type="dxa"/>
          </w:tcPr>
          <w:p w:rsidR="00057C8D" w:rsidRPr="001E4F43" w:rsidRDefault="00980FFF" w:rsidP="00E31679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980FFF">
              <w:rPr>
                <w:b/>
                <w:bCs/>
                <w:color w:val="000000"/>
                <w:lang w:val="ru-RU"/>
              </w:rPr>
              <w:t>158</w:t>
            </w:r>
            <w:r w:rsidR="00266A26">
              <w:rPr>
                <w:b/>
                <w:bCs/>
                <w:color w:val="000000"/>
                <w:lang w:val="ru-RU"/>
              </w:rPr>
              <w:t> </w:t>
            </w:r>
            <w:r w:rsidRPr="00980FFF">
              <w:rPr>
                <w:b/>
                <w:bCs/>
                <w:color w:val="000000"/>
                <w:lang w:val="ru-RU"/>
              </w:rPr>
              <w:t>067,4</w:t>
            </w:r>
            <w:r>
              <w:rPr>
                <w:b/>
                <w:bCs/>
                <w:color w:val="000000"/>
                <w:lang w:val="ru-RU"/>
              </w:rPr>
              <w:t>0</w:t>
            </w:r>
            <w:r w:rsidR="008C2CE9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1E3E5C" w:rsidRPr="001E3E5C" w:rsidRDefault="00CE2B7E" w:rsidP="006A3DFE">
      <w:pPr>
        <w:ind w:firstLine="709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  <w:r w:rsidR="001E3E5C" w:rsidRPr="004E6D9B">
        <w:rPr>
          <w:color w:val="2D2D2D"/>
          <w:shd w:val="clear" w:color="auto" w:fill="FFFFFF"/>
          <w:lang w:val="ru-RU"/>
        </w:rPr>
        <w:t>о</w:t>
      </w:r>
      <w:r w:rsidR="001E3E5C" w:rsidRPr="001E3E5C">
        <w:rPr>
          <w:color w:val="2D2D2D"/>
          <w:shd w:val="clear" w:color="auto" w:fill="FFFFFF"/>
          <w:lang w:val="ru-RU"/>
        </w:rPr>
        <w:t>граничени</w:t>
      </w:r>
      <w:r w:rsidR="00583865">
        <w:rPr>
          <w:color w:val="2D2D2D"/>
          <w:shd w:val="clear" w:color="auto" w:fill="FFFFFF"/>
          <w:lang w:val="ru-RU"/>
        </w:rPr>
        <w:t>й</w:t>
      </w:r>
      <w:r w:rsidR="001E3E5C" w:rsidRPr="001E3E5C">
        <w:rPr>
          <w:color w:val="2D2D2D"/>
          <w:shd w:val="clear" w:color="auto" w:fill="FFFFFF"/>
          <w:lang w:val="ru-RU"/>
        </w:rPr>
        <w:t xml:space="preserve"> </w:t>
      </w:r>
      <w:r w:rsidR="0000451A">
        <w:rPr>
          <w:color w:val="2D2D2D"/>
          <w:shd w:val="clear" w:color="auto" w:fill="FFFFFF"/>
          <w:lang w:val="ru-RU"/>
        </w:rPr>
        <w:t>(</w:t>
      </w:r>
      <w:r w:rsidR="0000451A" w:rsidRPr="001E3E5C">
        <w:rPr>
          <w:color w:val="2D2D2D"/>
          <w:shd w:val="clear" w:color="auto" w:fill="FFFFFF"/>
          <w:lang w:val="ru-RU"/>
        </w:rPr>
        <w:t>обременени</w:t>
      </w:r>
      <w:r w:rsidR="0000451A">
        <w:rPr>
          <w:color w:val="2D2D2D"/>
          <w:shd w:val="clear" w:color="auto" w:fill="FFFFFF"/>
          <w:lang w:val="ru-RU"/>
        </w:rPr>
        <w:t>й)</w:t>
      </w:r>
      <w:r w:rsidR="0000451A" w:rsidRPr="001E3E5C">
        <w:rPr>
          <w:color w:val="2D2D2D"/>
          <w:shd w:val="clear" w:color="auto" w:fill="FFFFFF"/>
          <w:lang w:val="ru-RU"/>
        </w:rPr>
        <w:t xml:space="preserve"> </w:t>
      </w:r>
      <w:r w:rsidR="001E3E5C" w:rsidRPr="001E3E5C">
        <w:rPr>
          <w:color w:val="2D2D2D"/>
          <w:shd w:val="clear" w:color="auto" w:fill="FFFFFF"/>
          <w:lang w:val="ru-RU"/>
        </w:rPr>
        <w:t xml:space="preserve">прав </w:t>
      </w:r>
      <w:r w:rsidR="001E3E5C">
        <w:rPr>
          <w:color w:val="2D2D2D"/>
          <w:shd w:val="clear" w:color="auto" w:fill="FFFFFF"/>
          <w:lang w:val="ru-RU"/>
        </w:rPr>
        <w:t xml:space="preserve">в отношении </w:t>
      </w:r>
      <w:r w:rsidR="001E3E5C" w:rsidRPr="001E3E5C">
        <w:rPr>
          <w:color w:val="2D2D2D"/>
          <w:shd w:val="clear" w:color="auto" w:fill="FFFFFF"/>
          <w:lang w:val="ru-RU"/>
        </w:rPr>
        <w:t>недвижимо</w:t>
      </w:r>
      <w:r w:rsidR="00395321">
        <w:rPr>
          <w:color w:val="2D2D2D"/>
          <w:shd w:val="clear" w:color="auto" w:fill="FFFFFF"/>
          <w:lang w:val="ru-RU"/>
        </w:rPr>
        <w:t>го имущества</w:t>
      </w:r>
      <w:r w:rsidR="001E3E5C">
        <w:rPr>
          <w:color w:val="2D2D2D"/>
          <w:shd w:val="clear" w:color="auto" w:fill="FFFFFF"/>
          <w:lang w:val="ru-RU"/>
        </w:rPr>
        <w:t xml:space="preserve"> не зарегистрировано.</w:t>
      </w:r>
    </w:p>
    <w:p w:rsidR="00CE2B7E" w:rsidRPr="00607F61" w:rsidRDefault="00CE2B7E" w:rsidP="006A3DFE">
      <w:pPr>
        <w:pStyle w:val="ae"/>
        <w:spacing w:after="0"/>
        <w:ind w:left="0" w:firstLine="709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Pr="009A17CB" w:rsidRDefault="00CE2B7E" w:rsidP="006A3DFE">
      <w:pPr>
        <w:ind w:firstLine="709"/>
        <w:jc w:val="both"/>
        <w:rPr>
          <w:color w:val="2D2D2D"/>
          <w:shd w:val="clear" w:color="auto" w:fill="FFFFFF"/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484886">
        <w:rPr>
          <w:lang w:val="ru-RU"/>
        </w:rPr>
        <w:t>торги по</w:t>
      </w:r>
      <w:r w:rsidR="003977FA">
        <w:rPr>
          <w:lang w:val="ru-RU"/>
        </w:rPr>
        <w:t> </w:t>
      </w:r>
      <w:r w:rsidR="00484886">
        <w:rPr>
          <w:lang w:val="ru-RU"/>
        </w:rPr>
        <w:t>продаже</w:t>
      </w:r>
      <w:r w:rsidR="003977FA" w:rsidRPr="003977FA">
        <w:rPr>
          <w:color w:val="2D2D2D"/>
          <w:shd w:val="clear" w:color="auto" w:fill="FFFFFF"/>
          <w:lang w:val="ru-RU"/>
        </w:rPr>
        <w:t xml:space="preserve"> </w:t>
      </w:r>
      <w:r w:rsidR="003977FA">
        <w:rPr>
          <w:color w:val="2D2D2D"/>
          <w:shd w:val="clear" w:color="auto" w:fill="FFFFFF"/>
          <w:lang w:val="ru-RU"/>
        </w:rPr>
        <w:t xml:space="preserve">объектов </w:t>
      </w:r>
      <w:r w:rsidR="003977FA" w:rsidRPr="001E3E5C">
        <w:rPr>
          <w:color w:val="2D2D2D"/>
          <w:shd w:val="clear" w:color="auto" w:fill="FFFFFF"/>
          <w:lang w:val="ru-RU"/>
        </w:rPr>
        <w:t>недвижимости</w:t>
      </w:r>
      <w:r w:rsidR="00484886">
        <w:rPr>
          <w:lang w:val="ru-RU"/>
        </w:rPr>
        <w:t xml:space="preserve"> ранее </w:t>
      </w:r>
      <w:r w:rsidR="00756AC4">
        <w:rPr>
          <w:lang w:val="ru-RU"/>
        </w:rPr>
        <w:t>не проводились</w:t>
      </w:r>
      <w:r w:rsidR="002166B8" w:rsidRPr="002166B8">
        <w:rPr>
          <w:lang w:val="ru-RU"/>
        </w:rPr>
        <w:t>.</w:t>
      </w:r>
    </w:p>
    <w:p w:rsidR="006C68C6" w:rsidRDefault="006C68C6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DB247B" w:rsidRPr="00B23379" w:rsidRDefault="00DB247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8A1303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E21587">
        <w:rPr>
          <w:bCs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C22E3A">
        <w:rPr>
          <w:bCs/>
          <w:szCs w:val="24"/>
        </w:rPr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Default="00847C56" w:rsidP="006A3DFE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>
        <w:rPr>
          <w:bCs/>
          <w:szCs w:val="24"/>
        </w:rPr>
        <w:lastRenderedPageBreak/>
        <w:t>Р</w:t>
      </w:r>
      <w:r w:rsidR="00020A3C" w:rsidRPr="009B04F0">
        <w:rPr>
          <w:bCs/>
          <w:szCs w:val="24"/>
        </w:rPr>
        <w:t>егистраци</w:t>
      </w:r>
      <w:r w:rsidR="00020A3C">
        <w:rPr>
          <w:bCs/>
          <w:szCs w:val="24"/>
        </w:rPr>
        <w:t>я</w:t>
      </w:r>
      <w:r w:rsidR="00020A3C" w:rsidRPr="009B04F0">
        <w:rPr>
          <w:bCs/>
          <w:szCs w:val="24"/>
        </w:rPr>
        <w:t xml:space="preserve"> претендентов на </w:t>
      </w:r>
      <w:r w:rsidR="009B04F0" w:rsidRPr="009B04F0">
        <w:rPr>
          <w:bCs/>
          <w:szCs w:val="24"/>
        </w:rPr>
        <w:t>участие в</w:t>
      </w:r>
      <w:r w:rsidR="005A3FA5">
        <w:rPr>
          <w:bCs/>
          <w:szCs w:val="24"/>
        </w:rPr>
        <w:t xml:space="preserve"> </w:t>
      </w:r>
      <w:r w:rsidR="009B04F0" w:rsidRPr="009B04F0">
        <w:rPr>
          <w:bCs/>
          <w:szCs w:val="24"/>
        </w:rPr>
        <w:t>аукционе осуществляется ежедневно, круглосуточно, но не позднее даты и времени окончания подачи (приема) Заявок.</w:t>
      </w:r>
    </w:p>
    <w:p w:rsidR="008A139C" w:rsidRDefault="008A139C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B247B" w:rsidRPr="00C22E3A" w:rsidRDefault="00DB247B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A3DFE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</w:t>
      </w:r>
      <w:r w:rsidR="009E4506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Default="006E773B" w:rsidP="006A3DFE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lastRenderedPageBreak/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DB247B" w:rsidRPr="00B23379" w:rsidRDefault="00DB247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</w:t>
      </w:r>
      <w:r w:rsidR="001C4D4C">
        <w:rPr>
          <w:rFonts w:eastAsia="Times New Roman"/>
          <w:b/>
          <w:bCs/>
          <w:lang w:val="ru-RU" w:eastAsia="ru-RU"/>
        </w:rPr>
        <w:t>авляемые для участия в аукционе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DB247B" w:rsidRPr="00B23379" w:rsidRDefault="00DB247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A3DFE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lastRenderedPageBreak/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6A3DF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DB247B" w:rsidRPr="00B23379" w:rsidRDefault="00DB247B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0E6EDA">
      <w:pPr>
        <w:numPr>
          <w:ilvl w:val="1"/>
          <w:numId w:val="4"/>
        </w:numPr>
        <w:ind w:left="0" w:firstLine="567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A3DFE" w:rsidRPr="004E6D9B" w:rsidRDefault="006A3DFE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</w:p>
    <w:p w:rsidR="00A74C4F" w:rsidRPr="004E6D9B" w:rsidRDefault="00A74C4F" w:rsidP="000E6EDA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а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также по адресу электронной почты: </w:t>
      </w:r>
      <w:hyperlink r:id="rId13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а также по адресу электронной почты: </w:t>
      </w:r>
      <w:hyperlink r:id="rId14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017EE9">
        <w:rPr>
          <w:rFonts w:eastAsia="Times New Roman"/>
          <w:lang w:val="ru-RU" w:eastAsia="ru-RU"/>
        </w:rPr>
        <w:t>.</w:t>
      </w:r>
    </w:p>
    <w:p w:rsidR="003E3BFE" w:rsidRPr="00B23379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A3DFE">
      <w:pPr>
        <w:tabs>
          <w:tab w:val="left" w:pos="709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0A757F" w:rsidRPr="004E6D9B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lastRenderedPageBreak/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734AC3" w:rsidRDefault="00734AC3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</w:t>
      </w:r>
      <w:r w:rsidRPr="00BC129F">
        <w:rPr>
          <w:rFonts w:eastAsia="Times New Roman"/>
          <w:lang w:val="ru-RU" w:eastAsia="ru-RU"/>
        </w:rPr>
        <w:lastRenderedPageBreak/>
        <w:t>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г)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д)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E558C1" w:rsidRPr="00B23379" w:rsidRDefault="00E558C1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Default="009D3B7A" w:rsidP="002057CB">
      <w:pPr>
        <w:ind w:firstLine="709"/>
        <w:jc w:val="both"/>
        <w:rPr>
          <w:rFonts w:eastAsia="Times New Roman"/>
          <w:lang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0A757F" w:rsidRPr="004E6D9B" w:rsidRDefault="000A757F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Pr="004E6D9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4E6D9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0A757F" w:rsidRPr="004E6D9B" w:rsidRDefault="000A75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sectPr w:rsid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63" w:rsidRDefault="003C3563" w:rsidP="007078EB">
      <w:r>
        <w:separator/>
      </w:r>
    </w:p>
  </w:endnote>
  <w:endnote w:type="continuationSeparator" w:id="0">
    <w:p w:rsidR="003C3563" w:rsidRDefault="003C3563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F6F" w:rsidRPr="00615F6F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63" w:rsidRDefault="003C3563" w:rsidP="007078EB">
      <w:r>
        <w:separator/>
      </w:r>
    </w:p>
  </w:footnote>
  <w:footnote w:type="continuationSeparator" w:id="0">
    <w:p w:rsidR="003C3563" w:rsidRDefault="003C3563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C6D0A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815"/>
    <w:rsid w:val="0000451A"/>
    <w:rsid w:val="00004C33"/>
    <w:rsid w:val="00011B48"/>
    <w:rsid w:val="00014D23"/>
    <w:rsid w:val="000157D0"/>
    <w:rsid w:val="00017EE9"/>
    <w:rsid w:val="00020A3C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44259"/>
    <w:rsid w:val="0004438B"/>
    <w:rsid w:val="00046D03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5181"/>
    <w:rsid w:val="000831C0"/>
    <w:rsid w:val="00083BC7"/>
    <w:rsid w:val="0008470D"/>
    <w:rsid w:val="00085699"/>
    <w:rsid w:val="00086FD1"/>
    <w:rsid w:val="00087211"/>
    <w:rsid w:val="00087AD9"/>
    <w:rsid w:val="0009181B"/>
    <w:rsid w:val="00092F45"/>
    <w:rsid w:val="00095F4D"/>
    <w:rsid w:val="000976A4"/>
    <w:rsid w:val="00097E7D"/>
    <w:rsid w:val="000A0972"/>
    <w:rsid w:val="000A757F"/>
    <w:rsid w:val="000B0A7D"/>
    <w:rsid w:val="000B125C"/>
    <w:rsid w:val="000B35B1"/>
    <w:rsid w:val="000C0954"/>
    <w:rsid w:val="000C39DE"/>
    <w:rsid w:val="000C4155"/>
    <w:rsid w:val="000C5CA2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EDA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17BC"/>
    <w:rsid w:val="001166DA"/>
    <w:rsid w:val="00117E9F"/>
    <w:rsid w:val="00120EE9"/>
    <w:rsid w:val="001225C6"/>
    <w:rsid w:val="00125258"/>
    <w:rsid w:val="001271B6"/>
    <w:rsid w:val="00132797"/>
    <w:rsid w:val="00133F31"/>
    <w:rsid w:val="00136D7E"/>
    <w:rsid w:val="00137874"/>
    <w:rsid w:val="001425FB"/>
    <w:rsid w:val="00143472"/>
    <w:rsid w:val="001458FF"/>
    <w:rsid w:val="00155502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6E75"/>
    <w:rsid w:val="001A7697"/>
    <w:rsid w:val="001B1D13"/>
    <w:rsid w:val="001B56F3"/>
    <w:rsid w:val="001B6229"/>
    <w:rsid w:val="001B6670"/>
    <w:rsid w:val="001C2E15"/>
    <w:rsid w:val="001C4131"/>
    <w:rsid w:val="001C4D4C"/>
    <w:rsid w:val="001C56B0"/>
    <w:rsid w:val="001C66C7"/>
    <w:rsid w:val="001D0339"/>
    <w:rsid w:val="001D6961"/>
    <w:rsid w:val="001E0501"/>
    <w:rsid w:val="001E29D2"/>
    <w:rsid w:val="001E3B59"/>
    <w:rsid w:val="001E3E5C"/>
    <w:rsid w:val="001E4F43"/>
    <w:rsid w:val="001E52C0"/>
    <w:rsid w:val="001E5916"/>
    <w:rsid w:val="001E7E96"/>
    <w:rsid w:val="001E7F0B"/>
    <w:rsid w:val="001F03CE"/>
    <w:rsid w:val="001F43FB"/>
    <w:rsid w:val="001F6230"/>
    <w:rsid w:val="00201626"/>
    <w:rsid w:val="0020196C"/>
    <w:rsid w:val="00202AE2"/>
    <w:rsid w:val="00203584"/>
    <w:rsid w:val="002057CB"/>
    <w:rsid w:val="00206435"/>
    <w:rsid w:val="002104C2"/>
    <w:rsid w:val="002123C3"/>
    <w:rsid w:val="00215713"/>
    <w:rsid w:val="002166B8"/>
    <w:rsid w:val="002177D9"/>
    <w:rsid w:val="00217D31"/>
    <w:rsid w:val="00221FF1"/>
    <w:rsid w:val="002227FA"/>
    <w:rsid w:val="00222AEF"/>
    <w:rsid w:val="00227780"/>
    <w:rsid w:val="002277F8"/>
    <w:rsid w:val="00230A41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4D2A"/>
    <w:rsid w:val="00265AB5"/>
    <w:rsid w:val="00266A26"/>
    <w:rsid w:val="00275AC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D3E"/>
    <w:rsid w:val="002D2CB7"/>
    <w:rsid w:val="002D4023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301498"/>
    <w:rsid w:val="00306CA5"/>
    <w:rsid w:val="00307F5E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1145"/>
    <w:rsid w:val="0032334D"/>
    <w:rsid w:val="0032343E"/>
    <w:rsid w:val="00326643"/>
    <w:rsid w:val="00327C53"/>
    <w:rsid w:val="00327F33"/>
    <w:rsid w:val="00333386"/>
    <w:rsid w:val="00336217"/>
    <w:rsid w:val="003362B7"/>
    <w:rsid w:val="0034067A"/>
    <w:rsid w:val="00340732"/>
    <w:rsid w:val="00341065"/>
    <w:rsid w:val="003411EC"/>
    <w:rsid w:val="00341D75"/>
    <w:rsid w:val="003467D9"/>
    <w:rsid w:val="00346964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9ED"/>
    <w:rsid w:val="00372DC8"/>
    <w:rsid w:val="00377AEA"/>
    <w:rsid w:val="00384EAF"/>
    <w:rsid w:val="003901D4"/>
    <w:rsid w:val="00391B86"/>
    <w:rsid w:val="00392F65"/>
    <w:rsid w:val="00393DEA"/>
    <w:rsid w:val="00395321"/>
    <w:rsid w:val="0039624B"/>
    <w:rsid w:val="003977FA"/>
    <w:rsid w:val="003A156A"/>
    <w:rsid w:val="003B2B0A"/>
    <w:rsid w:val="003B3715"/>
    <w:rsid w:val="003B42DF"/>
    <w:rsid w:val="003B6E98"/>
    <w:rsid w:val="003B7EB0"/>
    <w:rsid w:val="003C10F6"/>
    <w:rsid w:val="003C3563"/>
    <w:rsid w:val="003C510E"/>
    <w:rsid w:val="003C581E"/>
    <w:rsid w:val="003D0278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66A2"/>
    <w:rsid w:val="003E798D"/>
    <w:rsid w:val="003F0B24"/>
    <w:rsid w:val="003F192D"/>
    <w:rsid w:val="003F318F"/>
    <w:rsid w:val="003F786C"/>
    <w:rsid w:val="0040123B"/>
    <w:rsid w:val="004027E4"/>
    <w:rsid w:val="00402EDD"/>
    <w:rsid w:val="004037D6"/>
    <w:rsid w:val="004048CD"/>
    <w:rsid w:val="00405D3B"/>
    <w:rsid w:val="00407C84"/>
    <w:rsid w:val="00407C86"/>
    <w:rsid w:val="004132B6"/>
    <w:rsid w:val="0041754A"/>
    <w:rsid w:val="00420F24"/>
    <w:rsid w:val="004230EC"/>
    <w:rsid w:val="0042491C"/>
    <w:rsid w:val="00424ECF"/>
    <w:rsid w:val="00425D60"/>
    <w:rsid w:val="004310BB"/>
    <w:rsid w:val="00436FD8"/>
    <w:rsid w:val="00437147"/>
    <w:rsid w:val="004414D2"/>
    <w:rsid w:val="00442981"/>
    <w:rsid w:val="00445BD5"/>
    <w:rsid w:val="00447180"/>
    <w:rsid w:val="00447592"/>
    <w:rsid w:val="00447B45"/>
    <w:rsid w:val="0045065A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5A3"/>
    <w:rsid w:val="00476AC4"/>
    <w:rsid w:val="004771B4"/>
    <w:rsid w:val="00480199"/>
    <w:rsid w:val="004811FB"/>
    <w:rsid w:val="004830D4"/>
    <w:rsid w:val="00484580"/>
    <w:rsid w:val="00484886"/>
    <w:rsid w:val="004855DE"/>
    <w:rsid w:val="004859B1"/>
    <w:rsid w:val="00486589"/>
    <w:rsid w:val="004872E6"/>
    <w:rsid w:val="004954AB"/>
    <w:rsid w:val="00495898"/>
    <w:rsid w:val="004A161E"/>
    <w:rsid w:val="004A73A6"/>
    <w:rsid w:val="004A7B3F"/>
    <w:rsid w:val="004B05AE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21FD"/>
    <w:rsid w:val="004E31DD"/>
    <w:rsid w:val="004E5BC1"/>
    <w:rsid w:val="004E65CE"/>
    <w:rsid w:val="004E6D9B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64D0"/>
    <w:rsid w:val="00541E2C"/>
    <w:rsid w:val="00542A70"/>
    <w:rsid w:val="00543202"/>
    <w:rsid w:val="005449E2"/>
    <w:rsid w:val="00551DCA"/>
    <w:rsid w:val="005535BA"/>
    <w:rsid w:val="005538AD"/>
    <w:rsid w:val="005547FF"/>
    <w:rsid w:val="00555EBD"/>
    <w:rsid w:val="005570FF"/>
    <w:rsid w:val="00562DC5"/>
    <w:rsid w:val="00564D2A"/>
    <w:rsid w:val="005662A3"/>
    <w:rsid w:val="00567E0D"/>
    <w:rsid w:val="00572CBE"/>
    <w:rsid w:val="00575C5F"/>
    <w:rsid w:val="0057711C"/>
    <w:rsid w:val="00577814"/>
    <w:rsid w:val="00577DDE"/>
    <w:rsid w:val="005800D0"/>
    <w:rsid w:val="00583865"/>
    <w:rsid w:val="00583EF6"/>
    <w:rsid w:val="00584135"/>
    <w:rsid w:val="005869A0"/>
    <w:rsid w:val="005A0C7E"/>
    <w:rsid w:val="005A1250"/>
    <w:rsid w:val="005A17EC"/>
    <w:rsid w:val="005A2E3A"/>
    <w:rsid w:val="005A3F71"/>
    <w:rsid w:val="005A3FA5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51BE"/>
    <w:rsid w:val="005C7A0E"/>
    <w:rsid w:val="005D4E06"/>
    <w:rsid w:val="005D77B4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519E"/>
    <w:rsid w:val="00605696"/>
    <w:rsid w:val="006074DD"/>
    <w:rsid w:val="00607F61"/>
    <w:rsid w:val="00615F6F"/>
    <w:rsid w:val="0062398E"/>
    <w:rsid w:val="00624879"/>
    <w:rsid w:val="006265B9"/>
    <w:rsid w:val="00626CD6"/>
    <w:rsid w:val="00627214"/>
    <w:rsid w:val="006316DC"/>
    <w:rsid w:val="006321CF"/>
    <w:rsid w:val="00632CAC"/>
    <w:rsid w:val="00634E75"/>
    <w:rsid w:val="00635BC4"/>
    <w:rsid w:val="006377AE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3FFB"/>
    <w:rsid w:val="00674343"/>
    <w:rsid w:val="0067438D"/>
    <w:rsid w:val="00683B8F"/>
    <w:rsid w:val="006865B8"/>
    <w:rsid w:val="0069326C"/>
    <w:rsid w:val="006942A4"/>
    <w:rsid w:val="00696887"/>
    <w:rsid w:val="006A0E5B"/>
    <w:rsid w:val="006A3483"/>
    <w:rsid w:val="006A3926"/>
    <w:rsid w:val="006A3DFE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03DB"/>
    <w:rsid w:val="006F2DA3"/>
    <w:rsid w:val="006F58E4"/>
    <w:rsid w:val="006F5966"/>
    <w:rsid w:val="006F632E"/>
    <w:rsid w:val="007030AA"/>
    <w:rsid w:val="007049D6"/>
    <w:rsid w:val="007078EB"/>
    <w:rsid w:val="007078ED"/>
    <w:rsid w:val="00711801"/>
    <w:rsid w:val="007122F1"/>
    <w:rsid w:val="00712483"/>
    <w:rsid w:val="00714F82"/>
    <w:rsid w:val="0071772C"/>
    <w:rsid w:val="00722287"/>
    <w:rsid w:val="00722FB6"/>
    <w:rsid w:val="0072782B"/>
    <w:rsid w:val="00730669"/>
    <w:rsid w:val="00733099"/>
    <w:rsid w:val="0073318D"/>
    <w:rsid w:val="00733B1A"/>
    <w:rsid w:val="00734AC3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56AC4"/>
    <w:rsid w:val="00760743"/>
    <w:rsid w:val="00761900"/>
    <w:rsid w:val="00765A8C"/>
    <w:rsid w:val="007701A2"/>
    <w:rsid w:val="00770A02"/>
    <w:rsid w:val="00772035"/>
    <w:rsid w:val="00773ABE"/>
    <w:rsid w:val="007774F9"/>
    <w:rsid w:val="00782059"/>
    <w:rsid w:val="00782A10"/>
    <w:rsid w:val="00790839"/>
    <w:rsid w:val="00791721"/>
    <w:rsid w:val="00794B1C"/>
    <w:rsid w:val="00795F05"/>
    <w:rsid w:val="007A0654"/>
    <w:rsid w:val="007A3BA4"/>
    <w:rsid w:val="007A46C6"/>
    <w:rsid w:val="007B5320"/>
    <w:rsid w:val="007C20A2"/>
    <w:rsid w:val="007C32B4"/>
    <w:rsid w:val="007C5ED8"/>
    <w:rsid w:val="007C75FC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47B"/>
    <w:rsid w:val="008005E1"/>
    <w:rsid w:val="008021D7"/>
    <w:rsid w:val="0080509A"/>
    <w:rsid w:val="00805B87"/>
    <w:rsid w:val="0081135B"/>
    <w:rsid w:val="00811BFA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47C56"/>
    <w:rsid w:val="0085124C"/>
    <w:rsid w:val="00854217"/>
    <w:rsid w:val="0085452D"/>
    <w:rsid w:val="00855D28"/>
    <w:rsid w:val="008560F0"/>
    <w:rsid w:val="00856112"/>
    <w:rsid w:val="00863610"/>
    <w:rsid w:val="00866A38"/>
    <w:rsid w:val="00866D8C"/>
    <w:rsid w:val="0087058D"/>
    <w:rsid w:val="008709C5"/>
    <w:rsid w:val="008711B4"/>
    <w:rsid w:val="00871360"/>
    <w:rsid w:val="00871D28"/>
    <w:rsid w:val="00873199"/>
    <w:rsid w:val="00885254"/>
    <w:rsid w:val="008858BC"/>
    <w:rsid w:val="00885AD1"/>
    <w:rsid w:val="00887045"/>
    <w:rsid w:val="00892C70"/>
    <w:rsid w:val="00895930"/>
    <w:rsid w:val="00896494"/>
    <w:rsid w:val="00897C85"/>
    <w:rsid w:val="008A09B5"/>
    <w:rsid w:val="008A1303"/>
    <w:rsid w:val="008A139C"/>
    <w:rsid w:val="008A256A"/>
    <w:rsid w:val="008A25D3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CAA"/>
    <w:rsid w:val="00933993"/>
    <w:rsid w:val="009342EE"/>
    <w:rsid w:val="009368BF"/>
    <w:rsid w:val="00936B46"/>
    <w:rsid w:val="00940AAD"/>
    <w:rsid w:val="009460C8"/>
    <w:rsid w:val="00947139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0FFF"/>
    <w:rsid w:val="00984891"/>
    <w:rsid w:val="009876AF"/>
    <w:rsid w:val="00990544"/>
    <w:rsid w:val="009931B9"/>
    <w:rsid w:val="00997BDD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2A45"/>
    <w:rsid w:val="009C3A4A"/>
    <w:rsid w:val="009C3CC6"/>
    <w:rsid w:val="009C51F9"/>
    <w:rsid w:val="009D0855"/>
    <w:rsid w:val="009D09B7"/>
    <w:rsid w:val="009D0DF2"/>
    <w:rsid w:val="009D1C8C"/>
    <w:rsid w:val="009D2B95"/>
    <w:rsid w:val="009D3B7A"/>
    <w:rsid w:val="009D62F3"/>
    <w:rsid w:val="009D6420"/>
    <w:rsid w:val="009D779A"/>
    <w:rsid w:val="009E245E"/>
    <w:rsid w:val="009E25CD"/>
    <w:rsid w:val="009E3D00"/>
    <w:rsid w:val="009E4506"/>
    <w:rsid w:val="009E4DF4"/>
    <w:rsid w:val="009E5D05"/>
    <w:rsid w:val="009F0208"/>
    <w:rsid w:val="009F0BD3"/>
    <w:rsid w:val="009F1820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142C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677F3"/>
    <w:rsid w:val="00A71B11"/>
    <w:rsid w:val="00A74C4F"/>
    <w:rsid w:val="00A80A33"/>
    <w:rsid w:val="00A81E52"/>
    <w:rsid w:val="00A84B7E"/>
    <w:rsid w:val="00A85B4E"/>
    <w:rsid w:val="00A968DD"/>
    <w:rsid w:val="00AA227E"/>
    <w:rsid w:val="00AA356F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16191"/>
    <w:rsid w:val="00B23379"/>
    <w:rsid w:val="00B23EA0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CDA"/>
    <w:rsid w:val="00B4600C"/>
    <w:rsid w:val="00B4763B"/>
    <w:rsid w:val="00B51DD0"/>
    <w:rsid w:val="00B54096"/>
    <w:rsid w:val="00B54D65"/>
    <w:rsid w:val="00B61FB6"/>
    <w:rsid w:val="00B648C1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2ECD"/>
    <w:rsid w:val="00B96097"/>
    <w:rsid w:val="00B96CCA"/>
    <w:rsid w:val="00BA144C"/>
    <w:rsid w:val="00BA70A3"/>
    <w:rsid w:val="00BA7AFD"/>
    <w:rsid w:val="00BA7E95"/>
    <w:rsid w:val="00BB0193"/>
    <w:rsid w:val="00BB0D0C"/>
    <w:rsid w:val="00BB68F9"/>
    <w:rsid w:val="00BC129F"/>
    <w:rsid w:val="00BC2DAF"/>
    <w:rsid w:val="00BC5F8A"/>
    <w:rsid w:val="00BC64EA"/>
    <w:rsid w:val="00BD0C08"/>
    <w:rsid w:val="00BD1113"/>
    <w:rsid w:val="00BD383D"/>
    <w:rsid w:val="00BD3C6A"/>
    <w:rsid w:val="00BD5FF2"/>
    <w:rsid w:val="00BD6BA8"/>
    <w:rsid w:val="00BD745B"/>
    <w:rsid w:val="00BE0DB3"/>
    <w:rsid w:val="00BE2D86"/>
    <w:rsid w:val="00BE373E"/>
    <w:rsid w:val="00BF15D0"/>
    <w:rsid w:val="00BF2282"/>
    <w:rsid w:val="00BF61C1"/>
    <w:rsid w:val="00C10093"/>
    <w:rsid w:val="00C119A9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1B60"/>
    <w:rsid w:val="00C42536"/>
    <w:rsid w:val="00C42A1D"/>
    <w:rsid w:val="00C4530B"/>
    <w:rsid w:val="00C45543"/>
    <w:rsid w:val="00C45ACE"/>
    <w:rsid w:val="00C472FE"/>
    <w:rsid w:val="00C47305"/>
    <w:rsid w:val="00C53E6F"/>
    <w:rsid w:val="00C55076"/>
    <w:rsid w:val="00C6217C"/>
    <w:rsid w:val="00C652E8"/>
    <w:rsid w:val="00C729A4"/>
    <w:rsid w:val="00C7562D"/>
    <w:rsid w:val="00C81286"/>
    <w:rsid w:val="00C82BBC"/>
    <w:rsid w:val="00C82C89"/>
    <w:rsid w:val="00C830BC"/>
    <w:rsid w:val="00C853BE"/>
    <w:rsid w:val="00C8590D"/>
    <w:rsid w:val="00C86B43"/>
    <w:rsid w:val="00C929F9"/>
    <w:rsid w:val="00C92B89"/>
    <w:rsid w:val="00C9698E"/>
    <w:rsid w:val="00CA33D5"/>
    <w:rsid w:val="00CA4468"/>
    <w:rsid w:val="00CA57E0"/>
    <w:rsid w:val="00CA6F02"/>
    <w:rsid w:val="00CA6FB2"/>
    <w:rsid w:val="00CB35F3"/>
    <w:rsid w:val="00CB45F1"/>
    <w:rsid w:val="00CB52A2"/>
    <w:rsid w:val="00CB5C74"/>
    <w:rsid w:val="00CC635F"/>
    <w:rsid w:val="00CC7C66"/>
    <w:rsid w:val="00CD24DF"/>
    <w:rsid w:val="00CD64A8"/>
    <w:rsid w:val="00CE1ED4"/>
    <w:rsid w:val="00CE21A2"/>
    <w:rsid w:val="00CE232B"/>
    <w:rsid w:val="00CE24C5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6F27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7789E"/>
    <w:rsid w:val="00D811AA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47B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D3084"/>
    <w:rsid w:val="00DD3E9D"/>
    <w:rsid w:val="00DD52E4"/>
    <w:rsid w:val="00DD6354"/>
    <w:rsid w:val="00DD6784"/>
    <w:rsid w:val="00DD7D3E"/>
    <w:rsid w:val="00DD7E5D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18AC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678E7"/>
    <w:rsid w:val="00E72F2B"/>
    <w:rsid w:val="00E77878"/>
    <w:rsid w:val="00E83FAF"/>
    <w:rsid w:val="00E8428B"/>
    <w:rsid w:val="00E91809"/>
    <w:rsid w:val="00E925ED"/>
    <w:rsid w:val="00E9267B"/>
    <w:rsid w:val="00E92E61"/>
    <w:rsid w:val="00E97464"/>
    <w:rsid w:val="00E9795A"/>
    <w:rsid w:val="00EA0F25"/>
    <w:rsid w:val="00EA399A"/>
    <w:rsid w:val="00EA5D8C"/>
    <w:rsid w:val="00EA6585"/>
    <w:rsid w:val="00EB086A"/>
    <w:rsid w:val="00EB12D9"/>
    <w:rsid w:val="00EB17AA"/>
    <w:rsid w:val="00EB2544"/>
    <w:rsid w:val="00EB316F"/>
    <w:rsid w:val="00EB344E"/>
    <w:rsid w:val="00EB4643"/>
    <w:rsid w:val="00EB74DF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4C2"/>
    <w:rsid w:val="00EE5531"/>
    <w:rsid w:val="00EE6763"/>
    <w:rsid w:val="00EE6D22"/>
    <w:rsid w:val="00EF0484"/>
    <w:rsid w:val="00EF173F"/>
    <w:rsid w:val="00EF38BB"/>
    <w:rsid w:val="00F0056D"/>
    <w:rsid w:val="00F0178D"/>
    <w:rsid w:val="00F04857"/>
    <w:rsid w:val="00F05B6C"/>
    <w:rsid w:val="00F1072B"/>
    <w:rsid w:val="00F10E69"/>
    <w:rsid w:val="00F10EA8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37B1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07F1"/>
    <w:rsid w:val="00F61D7F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7AA6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F9A98C2E-9E1B-4413-8DC0-55FD4863F831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15</Pages>
  <Words>5934</Words>
  <Characters>33829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413</cp:revision>
  <cp:lastPrinted>2024-07-05T08:29:00Z</cp:lastPrinted>
  <dcterms:created xsi:type="dcterms:W3CDTF">2022-10-03T12:35:00Z</dcterms:created>
  <dcterms:modified xsi:type="dcterms:W3CDTF">2024-07-05T09:12:00Z</dcterms:modified>
</cp:coreProperties>
</file>